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6AC0E" w14:textId="77777777" w:rsidR="007771C2" w:rsidRPr="0017012F" w:rsidRDefault="007771C2" w:rsidP="0017012F">
      <w:pPr>
        <w:jc w:val="both"/>
        <w:rPr>
          <w:rFonts w:ascii="Montserrat" w:eastAsia="Times New Roman" w:hAnsi="Montserrat" w:cs="Calibri"/>
          <w:sz w:val="22"/>
          <w:szCs w:val="22"/>
          <w:bdr w:val="none" w:sz="0" w:space="0" w:color="auto" w:frame="1"/>
          <w:lang w:eastAsia="es-MX"/>
        </w:rPr>
      </w:pPr>
    </w:p>
    <w:p w14:paraId="51ADE21C" w14:textId="3343C1D1" w:rsidR="00BE5FDD" w:rsidRPr="00764D07" w:rsidRDefault="008D5ED9" w:rsidP="00F97054">
      <w:pPr>
        <w:jc w:val="center"/>
        <w:rPr>
          <w:rFonts w:ascii="Geomanist" w:hAnsi="Geomanist"/>
        </w:rPr>
      </w:pPr>
      <w:r w:rsidRPr="00764D07">
        <w:rPr>
          <w:rFonts w:ascii="Geomanist" w:hAnsi="Geomanist"/>
          <w:b/>
          <w:bCs/>
        </w:rPr>
        <w:t>5.1</w:t>
      </w:r>
      <w:r w:rsidR="00526884" w:rsidRPr="00764D07">
        <w:rPr>
          <w:rFonts w:ascii="Geomanist" w:hAnsi="Geomanist"/>
          <w:b/>
          <w:bCs/>
        </w:rPr>
        <w:t>1</w:t>
      </w:r>
      <w:r w:rsidRPr="00764D07">
        <w:rPr>
          <w:rFonts w:ascii="Geomanist" w:hAnsi="Geomanist"/>
          <w:b/>
          <w:bCs/>
        </w:rPr>
        <w:t xml:space="preserve"> </w:t>
      </w:r>
      <w:r w:rsidR="00BE5FDD" w:rsidRPr="00764D07">
        <w:rPr>
          <w:rFonts w:ascii="Geomanist" w:hAnsi="Geomanist"/>
          <w:b/>
          <w:bCs/>
        </w:rPr>
        <w:t>Ley Federal de Transparencia y Acceso a la Información Pública y Ley General de Transparencia y acceso a la Información Pública.</w:t>
      </w:r>
    </w:p>
    <w:p w14:paraId="4A1EC01E" w14:textId="77777777" w:rsidR="0080422C" w:rsidRPr="00585CEE" w:rsidRDefault="0080422C" w:rsidP="0017012F">
      <w:pPr>
        <w:rPr>
          <w:rFonts w:ascii="Geomanist" w:hAnsi="Geomanist"/>
          <w:sz w:val="22"/>
          <w:szCs w:val="22"/>
        </w:rPr>
      </w:pPr>
    </w:p>
    <w:p w14:paraId="18BD118C" w14:textId="51D685D4" w:rsidR="0080422C" w:rsidRPr="00585CEE" w:rsidRDefault="0080422C" w:rsidP="0017012F">
      <w:pPr>
        <w:widowControl w:val="0"/>
        <w:suppressAutoHyphens/>
        <w:jc w:val="both"/>
        <w:rPr>
          <w:rFonts w:ascii="Geomanist" w:eastAsia="SimSun" w:hAnsi="Geomanist" w:cs="Arial"/>
          <w:kern w:val="1"/>
          <w:sz w:val="22"/>
          <w:szCs w:val="22"/>
          <w:lang w:eastAsia="hi-IN" w:bidi="hi-IN"/>
        </w:rPr>
      </w:pPr>
      <w:r w:rsidRPr="00585CEE">
        <w:rPr>
          <w:rFonts w:ascii="Geomanist" w:eastAsia="SimSun" w:hAnsi="Geomanist" w:cs="Arial"/>
          <w:kern w:val="1"/>
          <w:sz w:val="22"/>
          <w:szCs w:val="22"/>
          <w:lang w:eastAsia="hi-IN" w:bidi="hi-IN"/>
        </w:rPr>
        <w:t>De acuerdo con las disposiciones establecidas en la Ley General de Transparencia y Acceso a la Información Pública y la Ley Federal de Transparencia y Acceso a la Información Pública, y demás ordenamientos relativos, la Unidad de Transparencia de El Colegio de la Frontera Sur durante el primer semestre del 2024 llevó a cabo las siguientes actividades:</w:t>
      </w:r>
    </w:p>
    <w:p w14:paraId="4713209D" w14:textId="77777777" w:rsidR="008F68E2" w:rsidRPr="00585CEE" w:rsidRDefault="008F68E2" w:rsidP="0017012F">
      <w:pPr>
        <w:widowControl w:val="0"/>
        <w:suppressAutoHyphens/>
        <w:jc w:val="both"/>
        <w:rPr>
          <w:rFonts w:ascii="Geomanist" w:eastAsia="SimSun" w:hAnsi="Geomanist" w:cs="Arial"/>
          <w:kern w:val="1"/>
          <w:sz w:val="22"/>
          <w:szCs w:val="22"/>
          <w:lang w:eastAsia="hi-IN" w:bidi="hi-IN"/>
        </w:rPr>
      </w:pPr>
    </w:p>
    <w:p w14:paraId="0F2F6921" w14:textId="217EEF4B" w:rsidR="00BE5FDD" w:rsidRPr="00585CEE" w:rsidRDefault="00BE5FDD" w:rsidP="0017012F">
      <w:pPr>
        <w:pStyle w:val="Prrafodelista"/>
        <w:widowControl w:val="0"/>
        <w:numPr>
          <w:ilvl w:val="0"/>
          <w:numId w:val="27"/>
        </w:numPr>
        <w:suppressAutoHyphens/>
        <w:autoSpaceDE w:val="0"/>
        <w:autoSpaceDN w:val="0"/>
        <w:adjustRightInd w:val="0"/>
        <w:contextualSpacing w:val="0"/>
        <w:jc w:val="both"/>
        <w:rPr>
          <w:rFonts w:ascii="Geomanist" w:hAnsi="Geomanist" w:cs="Arial"/>
          <w:b/>
          <w:sz w:val="22"/>
          <w:szCs w:val="22"/>
          <w:u w:val="single"/>
        </w:rPr>
      </w:pPr>
      <w:r w:rsidRPr="00585CEE">
        <w:rPr>
          <w:rFonts w:ascii="Geomanist" w:hAnsi="Geomanist" w:cs="Arial"/>
          <w:b/>
          <w:sz w:val="22"/>
          <w:szCs w:val="22"/>
          <w:u w:val="single"/>
        </w:rPr>
        <w:t>Atención a Solicitudes de Información</w:t>
      </w:r>
      <w:r w:rsidR="0016416C" w:rsidRPr="00585CEE">
        <w:rPr>
          <w:rFonts w:ascii="Geomanist" w:hAnsi="Geomanist" w:cs="Arial"/>
          <w:b/>
          <w:sz w:val="22"/>
          <w:szCs w:val="22"/>
          <w:u w:val="single"/>
        </w:rPr>
        <w:t xml:space="preserve"> del primer semestre de 2024, comparado con los resultados del año anterior</w:t>
      </w:r>
      <w:r w:rsidRPr="00585CEE">
        <w:rPr>
          <w:rFonts w:ascii="Geomanist" w:hAnsi="Geomanist" w:cs="Arial"/>
          <w:b/>
          <w:sz w:val="22"/>
          <w:szCs w:val="22"/>
          <w:u w:val="single"/>
        </w:rPr>
        <w:t>:</w:t>
      </w:r>
    </w:p>
    <w:p w14:paraId="69041C07" w14:textId="77777777" w:rsidR="00374910" w:rsidRPr="00585CEE" w:rsidRDefault="00374910" w:rsidP="0017012F">
      <w:pPr>
        <w:rPr>
          <w:rFonts w:ascii="Geomanist" w:hAnsi="Geomanist"/>
          <w:sz w:val="22"/>
          <w:szCs w:val="22"/>
        </w:rPr>
      </w:pPr>
    </w:p>
    <w:tbl>
      <w:tblPr>
        <w:tblStyle w:val="Tablaconcuadrcula"/>
        <w:tblW w:w="9493" w:type="dxa"/>
        <w:tblLayout w:type="fixed"/>
        <w:tblLook w:val="04A0" w:firstRow="1" w:lastRow="0" w:firstColumn="1" w:lastColumn="0" w:noHBand="0" w:noVBand="1"/>
      </w:tblPr>
      <w:tblGrid>
        <w:gridCol w:w="5098"/>
        <w:gridCol w:w="2197"/>
        <w:gridCol w:w="2198"/>
      </w:tblGrid>
      <w:tr w:rsidR="00374910" w:rsidRPr="00585CEE" w14:paraId="00100A37" w14:textId="77777777" w:rsidTr="00374910">
        <w:tc>
          <w:tcPr>
            <w:tcW w:w="5098" w:type="dxa"/>
            <w:shd w:val="clear" w:color="auto" w:fill="BFBFBF" w:themeFill="background1" w:themeFillShade="BF"/>
            <w:vAlign w:val="center"/>
          </w:tcPr>
          <w:p w14:paraId="765ECF21" w14:textId="72EDA082" w:rsidR="00374910" w:rsidRPr="00585CEE" w:rsidRDefault="00374910" w:rsidP="0017012F">
            <w:pPr>
              <w:jc w:val="center"/>
              <w:rPr>
                <w:rFonts w:ascii="Geomanist" w:hAnsi="Geomanist"/>
                <w:b/>
                <w:bCs/>
                <w:sz w:val="22"/>
                <w:szCs w:val="22"/>
              </w:rPr>
            </w:pPr>
            <w:r w:rsidRPr="00585CEE">
              <w:rPr>
                <w:rFonts w:ascii="Geomanist" w:hAnsi="Geomanist"/>
                <w:b/>
                <w:bCs/>
                <w:sz w:val="22"/>
                <w:szCs w:val="22"/>
              </w:rPr>
              <w:t>Concepto</w:t>
            </w:r>
          </w:p>
        </w:tc>
        <w:tc>
          <w:tcPr>
            <w:tcW w:w="2197" w:type="dxa"/>
            <w:shd w:val="clear" w:color="auto" w:fill="BFBFBF" w:themeFill="background1" w:themeFillShade="BF"/>
            <w:vAlign w:val="center"/>
          </w:tcPr>
          <w:p w14:paraId="2E3D0E90" w14:textId="07C57E65" w:rsidR="00374910" w:rsidRPr="00585CEE" w:rsidRDefault="00374910" w:rsidP="0017012F">
            <w:pPr>
              <w:jc w:val="center"/>
              <w:rPr>
                <w:rFonts w:ascii="Geomanist" w:hAnsi="Geomanist"/>
                <w:b/>
                <w:bCs/>
                <w:sz w:val="22"/>
                <w:szCs w:val="22"/>
              </w:rPr>
            </w:pPr>
            <w:r w:rsidRPr="00585CEE">
              <w:rPr>
                <w:rFonts w:ascii="Geomanist" w:hAnsi="Geomanist" w:cstheme="minorHAnsi"/>
                <w:b/>
                <w:bCs/>
                <w:sz w:val="22"/>
                <w:szCs w:val="22"/>
              </w:rPr>
              <w:t>Primer semestre 2023</w:t>
            </w:r>
          </w:p>
        </w:tc>
        <w:tc>
          <w:tcPr>
            <w:tcW w:w="2198" w:type="dxa"/>
            <w:shd w:val="clear" w:color="auto" w:fill="BFBFBF" w:themeFill="background1" w:themeFillShade="BF"/>
            <w:vAlign w:val="center"/>
          </w:tcPr>
          <w:p w14:paraId="7764819A" w14:textId="0D5D6296" w:rsidR="00374910" w:rsidRPr="00585CEE" w:rsidRDefault="00374910" w:rsidP="0017012F">
            <w:pPr>
              <w:jc w:val="center"/>
              <w:rPr>
                <w:rFonts w:ascii="Geomanist" w:hAnsi="Geomanist"/>
                <w:b/>
                <w:bCs/>
                <w:sz w:val="22"/>
                <w:szCs w:val="22"/>
              </w:rPr>
            </w:pPr>
            <w:r w:rsidRPr="00585CEE">
              <w:rPr>
                <w:rFonts w:ascii="Geomanist" w:hAnsi="Geomanist" w:cstheme="minorHAnsi"/>
                <w:b/>
                <w:bCs/>
                <w:sz w:val="22"/>
                <w:szCs w:val="22"/>
              </w:rPr>
              <w:t>Primer semestre 2024</w:t>
            </w:r>
          </w:p>
        </w:tc>
      </w:tr>
      <w:tr w:rsidR="00374910" w:rsidRPr="00585CEE" w14:paraId="060240D4" w14:textId="77777777" w:rsidTr="00F71BC1">
        <w:tc>
          <w:tcPr>
            <w:tcW w:w="5098" w:type="dxa"/>
          </w:tcPr>
          <w:p w14:paraId="0264A179" w14:textId="55C3E0A7" w:rsidR="00374910" w:rsidRPr="00585CEE" w:rsidRDefault="00374910" w:rsidP="0017012F">
            <w:pPr>
              <w:rPr>
                <w:rFonts w:ascii="Geomanist" w:hAnsi="Geomanist"/>
                <w:bCs/>
                <w:sz w:val="22"/>
                <w:szCs w:val="22"/>
              </w:rPr>
            </w:pPr>
            <w:r w:rsidRPr="00585CEE">
              <w:rPr>
                <w:rFonts w:ascii="Geomanist" w:hAnsi="Geomanist" w:cstheme="minorHAnsi"/>
                <w:bCs/>
                <w:color w:val="000000" w:themeColor="text1"/>
                <w:sz w:val="22"/>
                <w:szCs w:val="22"/>
              </w:rPr>
              <w:t>Solicitudes de acceso a la información recibidas en el periodo</w:t>
            </w:r>
          </w:p>
        </w:tc>
        <w:tc>
          <w:tcPr>
            <w:tcW w:w="2197" w:type="dxa"/>
            <w:vAlign w:val="center"/>
          </w:tcPr>
          <w:p w14:paraId="699348FE" w14:textId="0224FB2F" w:rsidR="00374910" w:rsidRPr="00585CEE" w:rsidRDefault="00374910" w:rsidP="0017012F">
            <w:pPr>
              <w:jc w:val="center"/>
              <w:rPr>
                <w:rFonts w:ascii="Geomanist" w:hAnsi="Geomanist"/>
                <w:sz w:val="22"/>
                <w:szCs w:val="22"/>
              </w:rPr>
            </w:pPr>
            <w:r w:rsidRPr="00585CEE">
              <w:rPr>
                <w:rFonts w:ascii="Geomanist" w:hAnsi="Geomanist"/>
                <w:sz w:val="22"/>
                <w:szCs w:val="22"/>
              </w:rPr>
              <w:t>75</w:t>
            </w:r>
          </w:p>
        </w:tc>
        <w:tc>
          <w:tcPr>
            <w:tcW w:w="2198" w:type="dxa"/>
            <w:vAlign w:val="center"/>
          </w:tcPr>
          <w:p w14:paraId="52641BF2" w14:textId="1ED4A32E" w:rsidR="00374910" w:rsidRPr="00585CEE" w:rsidRDefault="00374910" w:rsidP="0017012F">
            <w:pPr>
              <w:jc w:val="center"/>
              <w:rPr>
                <w:rFonts w:ascii="Geomanist" w:hAnsi="Geomanist"/>
                <w:sz w:val="22"/>
                <w:szCs w:val="22"/>
              </w:rPr>
            </w:pPr>
            <w:r w:rsidRPr="00585CEE">
              <w:rPr>
                <w:rFonts w:ascii="Geomanist" w:hAnsi="Geomanist"/>
                <w:sz w:val="22"/>
                <w:szCs w:val="22"/>
              </w:rPr>
              <w:t>43</w:t>
            </w:r>
          </w:p>
        </w:tc>
      </w:tr>
      <w:tr w:rsidR="00374910" w:rsidRPr="00585CEE" w14:paraId="6E40D4FA" w14:textId="77777777" w:rsidTr="00F71BC1">
        <w:tc>
          <w:tcPr>
            <w:tcW w:w="5098" w:type="dxa"/>
          </w:tcPr>
          <w:p w14:paraId="1F7DC24F" w14:textId="78C54D7A" w:rsidR="00374910" w:rsidRPr="00585CEE" w:rsidRDefault="00374910" w:rsidP="0017012F">
            <w:pPr>
              <w:rPr>
                <w:rFonts w:ascii="Geomanist" w:hAnsi="Geomanist"/>
                <w:bCs/>
                <w:sz w:val="22"/>
                <w:szCs w:val="22"/>
              </w:rPr>
            </w:pPr>
            <w:r w:rsidRPr="00585CEE">
              <w:rPr>
                <w:rFonts w:ascii="Geomanist" w:hAnsi="Geomanist" w:cstheme="minorHAnsi"/>
                <w:bCs/>
                <w:color w:val="000000" w:themeColor="text1"/>
                <w:sz w:val="22"/>
                <w:szCs w:val="22"/>
              </w:rPr>
              <w:t>Solicitudes de acceso a la información atendidas</w:t>
            </w:r>
          </w:p>
        </w:tc>
        <w:tc>
          <w:tcPr>
            <w:tcW w:w="2197" w:type="dxa"/>
            <w:vAlign w:val="center"/>
          </w:tcPr>
          <w:p w14:paraId="36941A81" w14:textId="279D1B28" w:rsidR="00374910" w:rsidRPr="00585CEE" w:rsidRDefault="00374910" w:rsidP="0017012F">
            <w:pPr>
              <w:jc w:val="center"/>
              <w:rPr>
                <w:rFonts w:ascii="Geomanist" w:hAnsi="Geomanist"/>
                <w:sz w:val="22"/>
                <w:szCs w:val="22"/>
              </w:rPr>
            </w:pPr>
            <w:r w:rsidRPr="00585CEE">
              <w:rPr>
                <w:rFonts w:ascii="Geomanist" w:hAnsi="Geomanist"/>
                <w:sz w:val="22"/>
                <w:szCs w:val="22"/>
              </w:rPr>
              <w:t>72</w:t>
            </w:r>
          </w:p>
        </w:tc>
        <w:tc>
          <w:tcPr>
            <w:tcW w:w="2198" w:type="dxa"/>
            <w:vAlign w:val="center"/>
          </w:tcPr>
          <w:p w14:paraId="6AC99D7A" w14:textId="74928FA0" w:rsidR="00374910" w:rsidRPr="00585CEE" w:rsidRDefault="00374910" w:rsidP="0017012F">
            <w:pPr>
              <w:jc w:val="center"/>
              <w:rPr>
                <w:rFonts w:ascii="Geomanist" w:hAnsi="Geomanist"/>
                <w:sz w:val="22"/>
                <w:szCs w:val="22"/>
              </w:rPr>
            </w:pPr>
            <w:r w:rsidRPr="00585CEE">
              <w:rPr>
                <w:rFonts w:ascii="Geomanist" w:hAnsi="Geomanist"/>
                <w:sz w:val="22"/>
                <w:szCs w:val="22"/>
              </w:rPr>
              <w:t>40</w:t>
            </w:r>
          </w:p>
        </w:tc>
      </w:tr>
      <w:tr w:rsidR="00374910" w:rsidRPr="00585CEE" w14:paraId="366EBFCA" w14:textId="77777777" w:rsidTr="00F71BC1">
        <w:tc>
          <w:tcPr>
            <w:tcW w:w="5098" w:type="dxa"/>
          </w:tcPr>
          <w:p w14:paraId="48376644" w14:textId="7518CC80" w:rsidR="00374910" w:rsidRPr="00585CEE" w:rsidRDefault="00374910" w:rsidP="0017012F">
            <w:pPr>
              <w:rPr>
                <w:rFonts w:ascii="Geomanist" w:hAnsi="Geomanist"/>
                <w:bCs/>
                <w:sz w:val="22"/>
                <w:szCs w:val="22"/>
              </w:rPr>
            </w:pPr>
            <w:r w:rsidRPr="00585CEE">
              <w:rPr>
                <w:rFonts w:ascii="Geomanist" w:hAnsi="Geomanist" w:cstheme="minorHAnsi"/>
                <w:bCs/>
                <w:color w:val="000000" w:themeColor="text1"/>
                <w:sz w:val="22"/>
                <w:szCs w:val="22"/>
              </w:rPr>
              <w:t>Recursos de revisión interpuestos en contra ante el INAI</w:t>
            </w:r>
          </w:p>
        </w:tc>
        <w:tc>
          <w:tcPr>
            <w:tcW w:w="2197" w:type="dxa"/>
            <w:vAlign w:val="center"/>
          </w:tcPr>
          <w:p w14:paraId="105B2AD4" w14:textId="359CF57F" w:rsidR="00374910" w:rsidRPr="00585CEE" w:rsidRDefault="00374910" w:rsidP="0017012F">
            <w:pPr>
              <w:jc w:val="center"/>
              <w:rPr>
                <w:rFonts w:ascii="Geomanist" w:hAnsi="Geomanist"/>
                <w:sz w:val="22"/>
                <w:szCs w:val="22"/>
              </w:rPr>
            </w:pPr>
            <w:r w:rsidRPr="00585CEE">
              <w:rPr>
                <w:rFonts w:ascii="Geomanist" w:hAnsi="Geomanist"/>
                <w:sz w:val="22"/>
                <w:szCs w:val="22"/>
              </w:rPr>
              <w:t>1</w:t>
            </w:r>
          </w:p>
        </w:tc>
        <w:tc>
          <w:tcPr>
            <w:tcW w:w="2198" w:type="dxa"/>
            <w:vAlign w:val="center"/>
          </w:tcPr>
          <w:p w14:paraId="1486BE9E" w14:textId="6182D317" w:rsidR="00374910" w:rsidRPr="00585CEE" w:rsidRDefault="00374910" w:rsidP="0017012F">
            <w:pPr>
              <w:jc w:val="center"/>
              <w:rPr>
                <w:rFonts w:ascii="Geomanist" w:hAnsi="Geomanist"/>
                <w:sz w:val="22"/>
                <w:szCs w:val="22"/>
              </w:rPr>
            </w:pPr>
            <w:r w:rsidRPr="00585CEE">
              <w:rPr>
                <w:rFonts w:ascii="Geomanist" w:hAnsi="Geomanist"/>
                <w:sz w:val="22"/>
                <w:szCs w:val="22"/>
              </w:rPr>
              <w:t>0</w:t>
            </w:r>
          </w:p>
        </w:tc>
      </w:tr>
      <w:tr w:rsidR="00374910" w:rsidRPr="00585CEE" w14:paraId="29E88284" w14:textId="77777777" w:rsidTr="00F71BC1">
        <w:tc>
          <w:tcPr>
            <w:tcW w:w="5098" w:type="dxa"/>
          </w:tcPr>
          <w:p w14:paraId="51C08B36" w14:textId="3A80692B" w:rsidR="00374910" w:rsidRPr="00585CEE" w:rsidRDefault="00374910" w:rsidP="0017012F">
            <w:pPr>
              <w:rPr>
                <w:rFonts w:ascii="Geomanist" w:hAnsi="Geomanist"/>
                <w:bCs/>
                <w:sz w:val="22"/>
                <w:szCs w:val="22"/>
              </w:rPr>
            </w:pPr>
            <w:r w:rsidRPr="00585CEE">
              <w:rPr>
                <w:rFonts w:ascii="Geomanist" w:hAnsi="Geomanist" w:cstheme="minorHAnsi"/>
                <w:bCs/>
                <w:color w:val="000000" w:themeColor="text1"/>
                <w:sz w:val="22"/>
                <w:szCs w:val="22"/>
              </w:rPr>
              <w:t>Sentido de la Resoluciones emitidas por el INAI</w:t>
            </w:r>
          </w:p>
        </w:tc>
        <w:tc>
          <w:tcPr>
            <w:tcW w:w="2197" w:type="dxa"/>
            <w:vAlign w:val="center"/>
          </w:tcPr>
          <w:p w14:paraId="62A986DC" w14:textId="435070A6" w:rsidR="00374910" w:rsidRPr="00585CEE" w:rsidRDefault="00374910" w:rsidP="0017012F">
            <w:pPr>
              <w:jc w:val="center"/>
              <w:rPr>
                <w:rFonts w:ascii="Geomanist" w:hAnsi="Geomanist"/>
                <w:sz w:val="22"/>
                <w:szCs w:val="22"/>
              </w:rPr>
            </w:pPr>
            <w:r w:rsidRPr="00585CEE">
              <w:rPr>
                <w:rFonts w:ascii="Geomanist" w:hAnsi="Geomanist"/>
                <w:sz w:val="22"/>
                <w:szCs w:val="22"/>
              </w:rPr>
              <w:t>Modifica</w:t>
            </w:r>
          </w:p>
        </w:tc>
        <w:tc>
          <w:tcPr>
            <w:tcW w:w="2198" w:type="dxa"/>
            <w:vAlign w:val="center"/>
          </w:tcPr>
          <w:p w14:paraId="1CA78383" w14:textId="7FFE7BAC" w:rsidR="00374910" w:rsidRPr="00585CEE" w:rsidRDefault="00374910" w:rsidP="0017012F">
            <w:pPr>
              <w:jc w:val="center"/>
              <w:rPr>
                <w:rFonts w:ascii="Geomanist" w:hAnsi="Geomanist"/>
                <w:sz w:val="22"/>
                <w:szCs w:val="22"/>
              </w:rPr>
            </w:pPr>
            <w:r w:rsidRPr="00585CEE">
              <w:rPr>
                <w:rFonts w:ascii="Geomanist" w:hAnsi="Geomanist"/>
                <w:sz w:val="22"/>
                <w:szCs w:val="22"/>
              </w:rPr>
              <w:t>-</w:t>
            </w:r>
          </w:p>
        </w:tc>
      </w:tr>
      <w:tr w:rsidR="00374910" w:rsidRPr="00585CEE" w14:paraId="78645D72" w14:textId="77777777" w:rsidTr="00F71BC1">
        <w:tc>
          <w:tcPr>
            <w:tcW w:w="5098" w:type="dxa"/>
          </w:tcPr>
          <w:p w14:paraId="59E2B640" w14:textId="63B48FB1" w:rsidR="00374910" w:rsidRPr="00585CEE" w:rsidRDefault="00374910" w:rsidP="0017012F">
            <w:pPr>
              <w:rPr>
                <w:rFonts w:ascii="Geomanist" w:hAnsi="Geomanist" w:cstheme="minorHAnsi"/>
                <w:bCs/>
                <w:color w:val="000000" w:themeColor="text1"/>
                <w:sz w:val="22"/>
                <w:szCs w:val="22"/>
              </w:rPr>
            </w:pPr>
            <w:r w:rsidRPr="00585CEE">
              <w:rPr>
                <w:rFonts w:ascii="Geomanist" w:hAnsi="Geomanist" w:cstheme="minorHAnsi"/>
                <w:bCs/>
                <w:color w:val="000000" w:themeColor="text1"/>
                <w:sz w:val="22"/>
                <w:szCs w:val="22"/>
              </w:rPr>
              <w:t>Número de expediente del recurso de revisión</w:t>
            </w:r>
          </w:p>
        </w:tc>
        <w:tc>
          <w:tcPr>
            <w:tcW w:w="2197" w:type="dxa"/>
            <w:vAlign w:val="center"/>
          </w:tcPr>
          <w:p w14:paraId="69768D5D" w14:textId="586EE2D5" w:rsidR="00374910" w:rsidRPr="00585CEE" w:rsidRDefault="00374910" w:rsidP="0017012F">
            <w:pPr>
              <w:jc w:val="center"/>
              <w:rPr>
                <w:rFonts w:ascii="Geomanist" w:hAnsi="Geomanist"/>
                <w:sz w:val="22"/>
                <w:szCs w:val="22"/>
              </w:rPr>
            </w:pPr>
            <w:r w:rsidRPr="00585CEE">
              <w:rPr>
                <w:rFonts w:ascii="Geomanist" w:hAnsi="Geomanist" w:cstheme="minorHAnsi"/>
                <w:sz w:val="22"/>
                <w:szCs w:val="22"/>
              </w:rPr>
              <w:t>RRA 6189/23</w:t>
            </w:r>
          </w:p>
        </w:tc>
        <w:tc>
          <w:tcPr>
            <w:tcW w:w="2198" w:type="dxa"/>
            <w:vAlign w:val="center"/>
          </w:tcPr>
          <w:p w14:paraId="041A1A01" w14:textId="3100DE65" w:rsidR="00374910" w:rsidRPr="00585CEE" w:rsidRDefault="00374910" w:rsidP="0017012F">
            <w:pPr>
              <w:jc w:val="center"/>
              <w:rPr>
                <w:rFonts w:ascii="Geomanist" w:hAnsi="Geomanist"/>
                <w:sz w:val="22"/>
                <w:szCs w:val="22"/>
              </w:rPr>
            </w:pPr>
            <w:r w:rsidRPr="00585CEE">
              <w:rPr>
                <w:rFonts w:ascii="Geomanist" w:hAnsi="Geomanist"/>
                <w:sz w:val="22"/>
                <w:szCs w:val="22"/>
              </w:rPr>
              <w:t>-</w:t>
            </w:r>
          </w:p>
        </w:tc>
      </w:tr>
      <w:tr w:rsidR="00374910" w:rsidRPr="00585CEE" w14:paraId="7E3B36B6" w14:textId="77777777" w:rsidTr="00F71BC1">
        <w:tc>
          <w:tcPr>
            <w:tcW w:w="5098" w:type="dxa"/>
          </w:tcPr>
          <w:p w14:paraId="75F0D25B" w14:textId="750C8668" w:rsidR="00374910" w:rsidRPr="00585CEE" w:rsidRDefault="00374910" w:rsidP="0017012F">
            <w:pPr>
              <w:rPr>
                <w:rFonts w:ascii="Geomanist" w:hAnsi="Geomanist" w:cstheme="minorHAnsi"/>
                <w:bCs/>
                <w:color w:val="000000" w:themeColor="text1"/>
                <w:sz w:val="22"/>
                <w:szCs w:val="22"/>
              </w:rPr>
            </w:pPr>
            <w:r w:rsidRPr="00585CEE">
              <w:rPr>
                <w:rFonts w:ascii="Geomanist" w:hAnsi="Geomanist" w:cstheme="minorHAnsi"/>
                <w:bCs/>
                <w:color w:val="000000" w:themeColor="text1"/>
                <w:sz w:val="22"/>
                <w:szCs w:val="22"/>
              </w:rPr>
              <w:t>Folio de la solicitud</w:t>
            </w:r>
          </w:p>
        </w:tc>
        <w:tc>
          <w:tcPr>
            <w:tcW w:w="2197" w:type="dxa"/>
            <w:vAlign w:val="center"/>
          </w:tcPr>
          <w:p w14:paraId="32C2DBE1" w14:textId="5DCFCB4A" w:rsidR="00374910" w:rsidRPr="00585CEE" w:rsidRDefault="00374910" w:rsidP="0017012F">
            <w:pPr>
              <w:jc w:val="center"/>
              <w:rPr>
                <w:rFonts w:ascii="Geomanist" w:hAnsi="Geomanist" w:cstheme="minorHAnsi"/>
                <w:sz w:val="22"/>
                <w:szCs w:val="22"/>
              </w:rPr>
            </w:pPr>
            <w:r w:rsidRPr="00585CEE">
              <w:rPr>
                <w:rFonts w:ascii="Geomanist" w:hAnsi="Geomanist" w:cstheme="minorHAnsi"/>
                <w:sz w:val="22"/>
                <w:szCs w:val="22"/>
              </w:rPr>
              <w:t>330012523000059</w:t>
            </w:r>
          </w:p>
        </w:tc>
        <w:tc>
          <w:tcPr>
            <w:tcW w:w="2198" w:type="dxa"/>
            <w:vAlign w:val="center"/>
          </w:tcPr>
          <w:p w14:paraId="787A1316" w14:textId="091D48D8" w:rsidR="00374910" w:rsidRPr="00585CEE" w:rsidRDefault="00374910" w:rsidP="0017012F">
            <w:pPr>
              <w:jc w:val="center"/>
              <w:rPr>
                <w:rFonts w:ascii="Geomanist" w:hAnsi="Geomanist"/>
                <w:sz w:val="22"/>
                <w:szCs w:val="22"/>
              </w:rPr>
            </w:pPr>
            <w:r w:rsidRPr="00585CEE">
              <w:rPr>
                <w:rFonts w:ascii="Geomanist" w:hAnsi="Geomanist"/>
                <w:sz w:val="22"/>
                <w:szCs w:val="22"/>
              </w:rPr>
              <w:t>-</w:t>
            </w:r>
          </w:p>
        </w:tc>
      </w:tr>
    </w:tbl>
    <w:p w14:paraId="650EB346" w14:textId="77777777" w:rsidR="00374910" w:rsidRPr="00585CEE" w:rsidRDefault="00374910" w:rsidP="0017012F">
      <w:pPr>
        <w:rPr>
          <w:rFonts w:ascii="Geomanist" w:hAnsi="Geomanist"/>
          <w:sz w:val="22"/>
          <w:szCs w:val="22"/>
        </w:rPr>
      </w:pPr>
    </w:p>
    <w:p w14:paraId="54505F40" w14:textId="77777777" w:rsidR="0080422C" w:rsidRPr="00585CEE" w:rsidRDefault="0080422C" w:rsidP="0017012F">
      <w:pPr>
        <w:rPr>
          <w:rFonts w:ascii="Geomanist" w:hAnsi="Geomanist"/>
          <w:sz w:val="22"/>
          <w:szCs w:val="22"/>
        </w:rPr>
      </w:pPr>
    </w:p>
    <w:p w14:paraId="1AFA9893" w14:textId="3D7F073A" w:rsidR="0080422C" w:rsidRPr="00585CEE" w:rsidRDefault="0080422C" w:rsidP="0017012F">
      <w:pPr>
        <w:widowControl w:val="0"/>
        <w:numPr>
          <w:ilvl w:val="0"/>
          <w:numId w:val="27"/>
        </w:numPr>
        <w:suppressAutoHyphens/>
        <w:autoSpaceDE w:val="0"/>
        <w:autoSpaceDN w:val="0"/>
        <w:adjustRightInd w:val="0"/>
        <w:jc w:val="both"/>
        <w:rPr>
          <w:rFonts w:ascii="Geomanist" w:hAnsi="Geomanist" w:cs="Arial"/>
          <w:b/>
          <w:sz w:val="22"/>
          <w:szCs w:val="22"/>
          <w:u w:val="single"/>
        </w:rPr>
      </w:pPr>
      <w:r w:rsidRPr="00585CEE">
        <w:rPr>
          <w:rFonts w:ascii="Geomanist" w:hAnsi="Geomanist" w:cs="Arial"/>
          <w:b/>
          <w:sz w:val="22"/>
          <w:szCs w:val="22"/>
          <w:u w:val="single"/>
        </w:rPr>
        <w:t xml:space="preserve">Calificaciones del INAI </w:t>
      </w:r>
      <w:r w:rsidR="00F71BC1" w:rsidRPr="00585CEE">
        <w:rPr>
          <w:rFonts w:ascii="Geomanist" w:hAnsi="Geomanist" w:cs="Arial"/>
          <w:b/>
          <w:sz w:val="22"/>
          <w:szCs w:val="22"/>
          <w:u w:val="single"/>
        </w:rPr>
        <w:t>al primer semestre</w:t>
      </w:r>
      <w:r w:rsidRPr="00585CEE">
        <w:rPr>
          <w:rFonts w:ascii="Geomanist" w:hAnsi="Geomanist" w:cs="Arial"/>
          <w:b/>
          <w:sz w:val="22"/>
          <w:szCs w:val="22"/>
          <w:u w:val="single"/>
        </w:rPr>
        <w:t xml:space="preserve"> de 2024, comparadas con </w:t>
      </w:r>
      <w:r w:rsidR="008A7FB0" w:rsidRPr="00585CEE">
        <w:rPr>
          <w:rFonts w:ascii="Geomanist" w:hAnsi="Geomanist" w:cs="Arial"/>
          <w:b/>
          <w:sz w:val="22"/>
          <w:szCs w:val="22"/>
          <w:u w:val="single"/>
        </w:rPr>
        <w:t>el</w:t>
      </w:r>
      <w:r w:rsidRPr="00585CEE">
        <w:rPr>
          <w:rFonts w:ascii="Geomanist" w:hAnsi="Geomanist" w:cs="Arial"/>
          <w:b/>
          <w:sz w:val="22"/>
          <w:szCs w:val="22"/>
          <w:u w:val="single"/>
        </w:rPr>
        <w:t xml:space="preserve"> </w:t>
      </w:r>
      <w:r w:rsidR="00F71BC1" w:rsidRPr="00585CEE">
        <w:rPr>
          <w:rFonts w:ascii="Geomanist" w:hAnsi="Geomanist" w:cs="Arial"/>
          <w:b/>
          <w:sz w:val="22"/>
          <w:szCs w:val="22"/>
          <w:u w:val="single"/>
        </w:rPr>
        <w:t>primer semestre</w:t>
      </w:r>
      <w:r w:rsidRPr="00585CEE">
        <w:rPr>
          <w:rFonts w:ascii="Geomanist" w:hAnsi="Geomanist" w:cs="Arial"/>
          <w:b/>
          <w:sz w:val="22"/>
          <w:szCs w:val="22"/>
          <w:u w:val="single"/>
        </w:rPr>
        <w:t xml:space="preserve"> 2023.</w:t>
      </w:r>
    </w:p>
    <w:p w14:paraId="75C6D794" w14:textId="77777777" w:rsidR="007972FB" w:rsidRPr="00585CEE" w:rsidRDefault="007972FB" w:rsidP="0017012F">
      <w:pPr>
        <w:widowControl w:val="0"/>
        <w:suppressAutoHyphens/>
        <w:autoSpaceDE w:val="0"/>
        <w:autoSpaceDN w:val="0"/>
        <w:adjustRightInd w:val="0"/>
        <w:jc w:val="both"/>
        <w:rPr>
          <w:rFonts w:ascii="Geomanist" w:hAnsi="Geomanist" w:cstheme="minorHAnsi"/>
          <w:sz w:val="22"/>
          <w:szCs w:val="22"/>
        </w:rPr>
      </w:pPr>
    </w:p>
    <w:p w14:paraId="37251620" w14:textId="3D449E09" w:rsidR="0080422C" w:rsidRPr="00585CEE" w:rsidRDefault="0080422C" w:rsidP="0017012F">
      <w:pPr>
        <w:widowControl w:val="0"/>
        <w:suppressAutoHyphens/>
        <w:autoSpaceDE w:val="0"/>
        <w:autoSpaceDN w:val="0"/>
        <w:adjustRightInd w:val="0"/>
        <w:jc w:val="both"/>
        <w:rPr>
          <w:rFonts w:ascii="Geomanist" w:hAnsi="Geomanist" w:cstheme="minorHAnsi"/>
          <w:sz w:val="22"/>
          <w:szCs w:val="22"/>
        </w:rPr>
      </w:pPr>
      <w:r w:rsidRPr="00585CEE">
        <w:rPr>
          <w:rFonts w:ascii="Geomanist" w:hAnsi="Geomanist" w:cstheme="minorHAnsi"/>
          <w:sz w:val="22"/>
          <w:szCs w:val="22"/>
        </w:rPr>
        <w:t xml:space="preserve">Se hace del conocimiento que </w:t>
      </w:r>
      <w:r w:rsidR="007972FB" w:rsidRPr="00585CEE">
        <w:rPr>
          <w:rFonts w:ascii="Geomanist" w:hAnsi="Geomanist" w:cstheme="minorHAnsi"/>
          <w:sz w:val="22"/>
          <w:szCs w:val="22"/>
        </w:rPr>
        <w:t xml:space="preserve">las calificaciones que se presentan son anuales </w:t>
      </w:r>
      <w:r w:rsidR="0017012F" w:rsidRPr="00585CEE">
        <w:rPr>
          <w:rFonts w:ascii="Geomanist" w:hAnsi="Geomanist" w:cstheme="minorHAnsi"/>
          <w:sz w:val="22"/>
          <w:szCs w:val="22"/>
        </w:rPr>
        <w:t>debido a que</w:t>
      </w:r>
      <w:r w:rsidR="007972FB" w:rsidRPr="00585CEE">
        <w:rPr>
          <w:rFonts w:ascii="Geomanist" w:hAnsi="Geomanist" w:cstheme="minorHAnsi"/>
          <w:sz w:val="22"/>
          <w:szCs w:val="22"/>
        </w:rPr>
        <w:t xml:space="preserve"> </w:t>
      </w:r>
      <w:r w:rsidRPr="00585CEE">
        <w:rPr>
          <w:rFonts w:ascii="Geomanist" w:hAnsi="Geomanist" w:cstheme="minorHAnsi"/>
          <w:sz w:val="22"/>
          <w:szCs w:val="22"/>
        </w:rPr>
        <w:t xml:space="preserve">el INAI </w:t>
      </w:r>
      <w:r w:rsidR="0017012F" w:rsidRPr="00585CEE">
        <w:rPr>
          <w:rFonts w:ascii="Geomanist" w:hAnsi="Geomanist" w:cstheme="minorHAnsi"/>
          <w:sz w:val="22"/>
          <w:szCs w:val="22"/>
        </w:rPr>
        <w:t>no realiza</w:t>
      </w:r>
      <w:r w:rsidR="007972FB" w:rsidRPr="00585CEE">
        <w:rPr>
          <w:rFonts w:ascii="Geomanist" w:hAnsi="Geomanist" w:cstheme="minorHAnsi"/>
          <w:sz w:val="22"/>
          <w:szCs w:val="22"/>
        </w:rPr>
        <w:t xml:space="preserve"> evaluaciones semestrales, asimismo</w:t>
      </w:r>
      <w:r w:rsidR="0017012F" w:rsidRPr="00585CEE">
        <w:rPr>
          <w:rFonts w:ascii="Geomanist" w:hAnsi="Geomanist" w:cstheme="minorHAnsi"/>
          <w:sz w:val="22"/>
          <w:szCs w:val="22"/>
        </w:rPr>
        <w:t>,</w:t>
      </w:r>
      <w:r w:rsidR="007972FB" w:rsidRPr="00585CEE">
        <w:rPr>
          <w:rFonts w:ascii="Geomanist" w:hAnsi="Geomanist" w:cstheme="minorHAnsi"/>
          <w:sz w:val="22"/>
          <w:szCs w:val="22"/>
        </w:rPr>
        <w:t xml:space="preserve"> se informa que </w:t>
      </w:r>
      <w:r w:rsidR="001469E5" w:rsidRPr="00585CEE">
        <w:rPr>
          <w:rFonts w:ascii="Geomanist" w:hAnsi="Geomanist" w:cstheme="minorHAnsi"/>
          <w:sz w:val="22"/>
          <w:szCs w:val="22"/>
        </w:rPr>
        <w:t>la verificación</w:t>
      </w:r>
      <w:r w:rsidRPr="00585CEE">
        <w:rPr>
          <w:rFonts w:ascii="Geomanist" w:hAnsi="Geomanist" w:cstheme="minorHAnsi"/>
          <w:sz w:val="22"/>
          <w:szCs w:val="22"/>
        </w:rPr>
        <w:t xml:space="preserve"> al Sistema de Portales de Obligaciones de Transparencia (SIPOT) </w:t>
      </w:r>
      <w:r w:rsidR="007972FB" w:rsidRPr="00585CEE">
        <w:rPr>
          <w:rFonts w:ascii="Geomanist" w:hAnsi="Geomanist" w:cstheme="minorHAnsi"/>
          <w:sz w:val="22"/>
          <w:szCs w:val="22"/>
        </w:rPr>
        <w:t xml:space="preserve">es </w:t>
      </w:r>
      <w:r w:rsidRPr="00585CEE">
        <w:rPr>
          <w:rFonts w:ascii="Geomanist" w:hAnsi="Geomanist" w:cstheme="minorHAnsi"/>
          <w:sz w:val="22"/>
          <w:szCs w:val="22"/>
        </w:rPr>
        <w:t>de forma muestral, es decir, no todos los sujetos son elegidos para ser verificados. Derivado de lo anterior, ECOSUR no fue considerado para entrar en la muestra de verificación durante los ejercicios 202</w:t>
      </w:r>
      <w:r w:rsidR="007972FB" w:rsidRPr="00585CEE">
        <w:rPr>
          <w:rFonts w:ascii="Geomanist" w:hAnsi="Geomanist" w:cstheme="minorHAnsi"/>
          <w:sz w:val="22"/>
          <w:szCs w:val="22"/>
        </w:rPr>
        <w:t>3</w:t>
      </w:r>
      <w:r w:rsidRPr="00585CEE">
        <w:rPr>
          <w:rFonts w:ascii="Geomanist" w:hAnsi="Geomanist" w:cstheme="minorHAnsi"/>
          <w:sz w:val="22"/>
          <w:szCs w:val="22"/>
        </w:rPr>
        <w:t xml:space="preserve"> y 202</w:t>
      </w:r>
      <w:r w:rsidR="007972FB" w:rsidRPr="00585CEE">
        <w:rPr>
          <w:rFonts w:ascii="Geomanist" w:hAnsi="Geomanist" w:cstheme="minorHAnsi"/>
          <w:sz w:val="22"/>
          <w:szCs w:val="22"/>
        </w:rPr>
        <w:t>4</w:t>
      </w:r>
      <w:r w:rsidRPr="00585CEE">
        <w:rPr>
          <w:rFonts w:ascii="Geomanist" w:hAnsi="Geomanist" w:cstheme="minorHAnsi"/>
          <w:sz w:val="22"/>
          <w:szCs w:val="22"/>
        </w:rPr>
        <w:t>.</w:t>
      </w:r>
    </w:p>
    <w:p w14:paraId="24CEACD5" w14:textId="77777777" w:rsidR="0080422C" w:rsidRPr="00585CEE" w:rsidRDefault="0080422C" w:rsidP="0017012F">
      <w:pPr>
        <w:widowControl w:val="0"/>
        <w:suppressAutoHyphens/>
        <w:autoSpaceDE w:val="0"/>
        <w:autoSpaceDN w:val="0"/>
        <w:adjustRightInd w:val="0"/>
        <w:jc w:val="both"/>
        <w:rPr>
          <w:rFonts w:ascii="Geomanist" w:hAnsi="Geomanist" w:cstheme="minorHAnsi"/>
          <w:sz w:val="22"/>
          <w:szCs w:val="22"/>
        </w:rPr>
      </w:pPr>
    </w:p>
    <w:tbl>
      <w:tblPr>
        <w:tblStyle w:val="Tablaconcuadrcula"/>
        <w:tblW w:w="9493" w:type="dxa"/>
        <w:tblLook w:val="04A0" w:firstRow="1" w:lastRow="0" w:firstColumn="1" w:lastColumn="0" w:noHBand="0" w:noVBand="1"/>
      </w:tblPr>
      <w:tblGrid>
        <w:gridCol w:w="5524"/>
        <w:gridCol w:w="1984"/>
        <w:gridCol w:w="1985"/>
      </w:tblGrid>
      <w:tr w:rsidR="0080422C" w:rsidRPr="00585CEE" w14:paraId="5FB5CD0C" w14:textId="41E11CFB" w:rsidTr="008D5ED9">
        <w:tc>
          <w:tcPr>
            <w:tcW w:w="5524" w:type="dxa"/>
            <w:shd w:val="clear" w:color="auto" w:fill="BFBFBF" w:themeFill="background1" w:themeFillShade="BF"/>
          </w:tcPr>
          <w:p w14:paraId="27C92DBD" w14:textId="77777777" w:rsidR="0080422C" w:rsidRPr="00585CEE" w:rsidRDefault="0080422C" w:rsidP="0017012F">
            <w:pPr>
              <w:widowControl w:val="0"/>
              <w:suppressAutoHyphens/>
              <w:autoSpaceDE w:val="0"/>
              <w:autoSpaceDN w:val="0"/>
              <w:adjustRightInd w:val="0"/>
              <w:jc w:val="center"/>
              <w:rPr>
                <w:rFonts w:ascii="Geomanist" w:hAnsi="Geomanist" w:cstheme="minorHAnsi"/>
                <w:b/>
                <w:bCs/>
                <w:sz w:val="22"/>
                <w:szCs w:val="22"/>
              </w:rPr>
            </w:pPr>
            <w:r w:rsidRPr="00585CEE">
              <w:rPr>
                <w:rFonts w:ascii="Geomanist" w:hAnsi="Geomanist" w:cstheme="minorHAnsi"/>
                <w:b/>
                <w:bCs/>
                <w:sz w:val="22"/>
                <w:szCs w:val="22"/>
              </w:rPr>
              <w:t>Dimensión evaluada</w:t>
            </w:r>
          </w:p>
        </w:tc>
        <w:tc>
          <w:tcPr>
            <w:tcW w:w="1984" w:type="dxa"/>
            <w:shd w:val="clear" w:color="auto" w:fill="BFBFBF" w:themeFill="background1" w:themeFillShade="BF"/>
          </w:tcPr>
          <w:p w14:paraId="69438E45" w14:textId="77777777" w:rsidR="0080422C" w:rsidRPr="00585CEE" w:rsidRDefault="0080422C" w:rsidP="0017012F">
            <w:pPr>
              <w:widowControl w:val="0"/>
              <w:suppressAutoHyphens/>
              <w:autoSpaceDE w:val="0"/>
              <w:autoSpaceDN w:val="0"/>
              <w:adjustRightInd w:val="0"/>
              <w:jc w:val="center"/>
              <w:rPr>
                <w:rFonts w:ascii="Geomanist" w:hAnsi="Geomanist" w:cstheme="minorHAnsi"/>
                <w:b/>
                <w:bCs/>
                <w:sz w:val="22"/>
                <w:szCs w:val="22"/>
              </w:rPr>
            </w:pPr>
            <w:r w:rsidRPr="00585CEE">
              <w:rPr>
                <w:rFonts w:ascii="Geomanist" w:hAnsi="Geomanist" w:cstheme="minorHAnsi"/>
                <w:b/>
                <w:bCs/>
                <w:sz w:val="22"/>
                <w:szCs w:val="22"/>
              </w:rPr>
              <w:t>2023</w:t>
            </w:r>
          </w:p>
        </w:tc>
        <w:tc>
          <w:tcPr>
            <w:tcW w:w="1985" w:type="dxa"/>
            <w:shd w:val="clear" w:color="auto" w:fill="BFBFBF" w:themeFill="background1" w:themeFillShade="BF"/>
          </w:tcPr>
          <w:p w14:paraId="742194A2" w14:textId="32B3D128" w:rsidR="0080422C" w:rsidRPr="00585CEE" w:rsidRDefault="0080422C" w:rsidP="0017012F">
            <w:pPr>
              <w:widowControl w:val="0"/>
              <w:suppressAutoHyphens/>
              <w:autoSpaceDE w:val="0"/>
              <w:autoSpaceDN w:val="0"/>
              <w:adjustRightInd w:val="0"/>
              <w:jc w:val="center"/>
              <w:rPr>
                <w:rFonts w:ascii="Geomanist" w:hAnsi="Geomanist" w:cstheme="minorHAnsi"/>
                <w:b/>
                <w:bCs/>
                <w:sz w:val="22"/>
                <w:szCs w:val="22"/>
              </w:rPr>
            </w:pPr>
            <w:r w:rsidRPr="00585CEE">
              <w:rPr>
                <w:rFonts w:ascii="Geomanist" w:hAnsi="Geomanist" w:cstheme="minorHAnsi"/>
                <w:b/>
                <w:bCs/>
                <w:sz w:val="22"/>
                <w:szCs w:val="22"/>
              </w:rPr>
              <w:t>2024</w:t>
            </w:r>
          </w:p>
        </w:tc>
      </w:tr>
      <w:tr w:rsidR="0080422C" w:rsidRPr="00585CEE" w14:paraId="17480684" w14:textId="0EEDB388" w:rsidTr="008D5ED9">
        <w:tc>
          <w:tcPr>
            <w:tcW w:w="5524" w:type="dxa"/>
          </w:tcPr>
          <w:p w14:paraId="5C883959" w14:textId="77777777" w:rsidR="0080422C" w:rsidRPr="00585CEE" w:rsidRDefault="0080422C" w:rsidP="0017012F">
            <w:pPr>
              <w:widowControl w:val="0"/>
              <w:suppressAutoHyphens/>
              <w:autoSpaceDE w:val="0"/>
              <w:autoSpaceDN w:val="0"/>
              <w:adjustRightInd w:val="0"/>
              <w:rPr>
                <w:rFonts w:ascii="Geomanist" w:hAnsi="Geomanist" w:cstheme="minorHAnsi"/>
                <w:sz w:val="22"/>
                <w:szCs w:val="22"/>
              </w:rPr>
            </w:pPr>
            <w:r w:rsidRPr="00585CEE">
              <w:rPr>
                <w:rFonts w:ascii="Geomanist" w:hAnsi="Geomanist" w:cstheme="minorHAnsi"/>
                <w:sz w:val="22"/>
                <w:szCs w:val="22"/>
              </w:rPr>
              <w:t>Resultado de la verificación a la Dimensión Portales de Transparencia</w:t>
            </w:r>
          </w:p>
        </w:tc>
        <w:tc>
          <w:tcPr>
            <w:tcW w:w="1984" w:type="dxa"/>
            <w:vAlign w:val="center"/>
          </w:tcPr>
          <w:p w14:paraId="17C90EC3" w14:textId="77777777" w:rsidR="0080422C" w:rsidRPr="00585CEE" w:rsidRDefault="0080422C" w:rsidP="0017012F">
            <w:pPr>
              <w:widowControl w:val="0"/>
              <w:suppressAutoHyphens/>
              <w:autoSpaceDE w:val="0"/>
              <w:autoSpaceDN w:val="0"/>
              <w:adjustRightInd w:val="0"/>
              <w:jc w:val="center"/>
              <w:rPr>
                <w:rFonts w:ascii="Geomanist" w:hAnsi="Geomanist" w:cstheme="minorHAnsi"/>
                <w:sz w:val="22"/>
                <w:szCs w:val="22"/>
                <w:highlight w:val="yellow"/>
              </w:rPr>
            </w:pPr>
            <w:r w:rsidRPr="00585CEE">
              <w:rPr>
                <w:rFonts w:ascii="Geomanist" w:eastAsia="Times New Roman" w:hAnsi="Geomanist"/>
                <w:sz w:val="22"/>
                <w:szCs w:val="22"/>
              </w:rPr>
              <w:t>No fue evaluado</w:t>
            </w:r>
          </w:p>
        </w:tc>
        <w:tc>
          <w:tcPr>
            <w:tcW w:w="1985" w:type="dxa"/>
            <w:vAlign w:val="center"/>
          </w:tcPr>
          <w:p w14:paraId="500D1D88" w14:textId="4A5F6D9B" w:rsidR="0080422C" w:rsidRPr="00585CEE" w:rsidRDefault="00F71BC1" w:rsidP="0017012F">
            <w:pPr>
              <w:widowControl w:val="0"/>
              <w:suppressAutoHyphens/>
              <w:autoSpaceDE w:val="0"/>
              <w:autoSpaceDN w:val="0"/>
              <w:adjustRightInd w:val="0"/>
              <w:jc w:val="center"/>
              <w:rPr>
                <w:rFonts w:ascii="Geomanist" w:eastAsia="Times New Roman" w:hAnsi="Geomanist"/>
                <w:sz w:val="22"/>
                <w:szCs w:val="22"/>
              </w:rPr>
            </w:pPr>
            <w:r w:rsidRPr="00585CEE">
              <w:rPr>
                <w:rFonts w:ascii="Geomanist" w:eastAsia="Times New Roman" w:hAnsi="Geomanist"/>
                <w:sz w:val="22"/>
                <w:szCs w:val="22"/>
              </w:rPr>
              <w:t>No fue evaluado</w:t>
            </w:r>
          </w:p>
        </w:tc>
      </w:tr>
      <w:tr w:rsidR="0080422C" w:rsidRPr="00585CEE" w14:paraId="18DBE67E" w14:textId="000C3B7B" w:rsidTr="008D5ED9">
        <w:tc>
          <w:tcPr>
            <w:tcW w:w="5524" w:type="dxa"/>
          </w:tcPr>
          <w:p w14:paraId="412EA7DB" w14:textId="77777777" w:rsidR="0080422C" w:rsidRPr="00585CEE" w:rsidRDefault="0080422C" w:rsidP="0017012F">
            <w:pPr>
              <w:widowControl w:val="0"/>
              <w:suppressAutoHyphens/>
              <w:autoSpaceDE w:val="0"/>
              <w:autoSpaceDN w:val="0"/>
              <w:adjustRightInd w:val="0"/>
              <w:rPr>
                <w:rFonts w:ascii="Geomanist" w:hAnsi="Geomanist" w:cstheme="minorHAnsi"/>
                <w:sz w:val="22"/>
                <w:szCs w:val="22"/>
              </w:rPr>
            </w:pPr>
            <w:r w:rsidRPr="00585CEE">
              <w:rPr>
                <w:rFonts w:ascii="Geomanist" w:hAnsi="Geomanist" w:cstheme="minorHAnsi"/>
                <w:sz w:val="22"/>
                <w:szCs w:val="22"/>
              </w:rPr>
              <w:t>Resultado de la verificación a la Dimensión Atención a Solicitudes de Información</w:t>
            </w:r>
          </w:p>
        </w:tc>
        <w:tc>
          <w:tcPr>
            <w:tcW w:w="1984" w:type="dxa"/>
            <w:vAlign w:val="center"/>
          </w:tcPr>
          <w:p w14:paraId="79D91A89" w14:textId="77777777" w:rsidR="0080422C" w:rsidRPr="00585CEE" w:rsidRDefault="0080422C" w:rsidP="0017012F">
            <w:pPr>
              <w:widowControl w:val="0"/>
              <w:suppressAutoHyphens/>
              <w:autoSpaceDE w:val="0"/>
              <w:autoSpaceDN w:val="0"/>
              <w:adjustRightInd w:val="0"/>
              <w:jc w:val="center"/>
              <w:rPr>
                <w:rFonts w:ascii="Geomanist" w:hAnsi="Geomanist" w:cstheme="minorHAnsi"/>
                <w:sz w:val="22"/>
                <w:szCs w:val="22"/>
              </w:rPr>
            </w:pPr>
            <w:r w:rsidRPr="00585CEE">
              <w:rPr>
                <w:rFonts w:ascii="Geomanist" w:hAnsi="Geomanist" w:cstheme="minorHAnsi"/>
                <w:sz w:val="22"/>
                <w:szCs w:val="22"/>
              </w:rPr>
              <w:t>91.42%</w:t>
            </w:r>
          </w:p>
        </w:tc>
        <w:tc>
          <w:tcPr>
            <w:tcW w:w="1985" w:type="dxa"/>
            <w:vAlign w:val="center"/>
          </w:tcPr>
          <w:p w14:paraId="70528252" w14:textId="10414374" w:rsidR="0080422C" w:rsidRPr="00585CEE" w:rsidRDefault="0080422C" w:rsidP="0017012F">
            <w:pPr>
              <w:widowControl w:val="0"/>
              <w:suppressAutoHyphens/>
              <w:autoSpaceDE w:val="0"/>
              <w:autoSpaceDN w:val="0"/>
              <w:adjustRightInd w:val="0"/>
              <w:jc w:val="center"/>
              <w:rPr>
                <w:rFonts w:ascii="Geomanist" w:hAnsi="Geomanist" w:cstheme="minorHAnsi"/>
                <w:sz w:val="22"/>
                <w:szCs w:val="22"/>
              </w:rPr>
            </w:pPr>
            <w:r w:rsidRPr="00585CEE">
              <w:rPr>
                <w:rFonts w:ascii="Geomanist" w:hAnsi="Geomanist" w:cstheme="minorHAnsi"/>
                <w:sz w:val="22"/>
                <w:szCs w:val="22"/>
              </w:rPr>
              <w:t>95.67%</w:t>
            </w:r>
          </w:p>
        </w:tc>
      </w:tr>
      <w:tr w:rsidR="0080422C" w:rsidRPr="00585CEE" w14:paraId="4910263F" w14:textId="0F07F976" w:rsidTr="008D5ED9">
        <w:tc>
          <w:tcPr>
            <w:tcW w:w="5524" w:type="dxa"/>
          </w:tcPr>
          <w:p w14:paraId="472638D4" w14:textId="77777777" w:rsidR="0080422C" w:rsidRPr="00585CEE" w:rsidRDefault="0080422C" w:rsidP="0017012F">
            <w:pPr>
              <w:widowControl w:val="0"/>
              <w:suppressAutoHyphens/>
              <w:autoSpaceDE w:val="0"/>
              <w:autoSpaceDN w:val="0"/>
              <w:adjustRightInd w:val="0"/>
              <w:rPr>
                <w:rFonts w:ascii="Geomanist" w:hAnsi="Geomanist" w:cstheme="minorHAnsi"/>
                <w:sz w:val="22"/>
                <w:szCs w:val="22"/>
              </w:rPr>
            </w:pPr>
            <w:r w:rsidRPr="00585CEE">
              <w:rPr>
                <w:rFonts w:ascii="Geomanist" w:hAnsi="Geomanist" w:cstheme="minorHAnsi"/>
                <w:sz w:val="22"/>
                <w:szCs w:val="22"/>
              </w:rPr>
              <w:t>Resultado de la verificación a la Dimensión Capacidades Institucionales de Unidades de Transparencia</w:t>
            </w:r>
          </w:p>
        </w:tc>
        <w:tc>
          <w:tcPr>
            <w:tcW w:w="1984" w:type="dxa"/>
            <w:vAlign w:val="center"/>
          </w:tcPr>
          <w:p w14:paraId="76C39AA2" w14:textId="77777777" w:rsidR="0080422C" w:rsidRPr="00585CEE" w:rsidRDefault="0080422C" w:rsidP="0017012F">
            <w:pPr>
              <w:widowControl w:val="0"/>
              <w:suppressAutoHyphens/>
              <w:autoSpaceDE w:val="0"/>
              <w:autoSpaceDN w:val="0"/>
              <w:adjustRightInd w:val="0"/>
              <w:jc w:val="center"/>
              <w:rPr>
                <w:rFonts w:ascii="Geomanist" w:hAnsi="Geomanist" w:cstheme="minorHAnsi"/>
                <w:sz w:val="22"/>
                <w:szCs w:val="22"/>
              </w:rPr>
            </w:pPr>
            <w:r w:rsidRPr="00585CEE">
              <w:rPr>
                <w:rFonts w:ascii="Geomanist" w:hAnsi="Geomanist" w:cstheme="minorHAnsi"/>
                <w:sz w:val="22"/>
                <w:szCs w:val="22"/>
              </w:rPr>
              <w:t>89.36%</w:t>
            </w:r>
          </w:p>
        </w:tc>
        <w:tc>
          <w:tcPr>
            <w:tcW w:w="1985" w:type="dxa"/>
            <w:vAlign w:val="center"/>
          </w:tcPr>
          <w:p w14:paraId="3FF9D8FE" w14:textId="4A3209DA" w:rsidR="0080422C" w:rsidRPr="00585CEE" w:rsidRDefault="008D62F3" w:rsidP="0017012F">
            <w:pPr>
              <w:widowControl w:val="0"/>
              <w:suppressAutoHyphens/>
              <w:autoSpaceDE w:val="0"/>
              <w:autoSpaceDN w:val="0"/>
              <w:adjustRightInd w:val="0"/>
              <w:jc w:val="center"/>
              <w:rPr>
                <w:rFonts w:ascii="Geomanist" w:hAnsi="Geomanist" w:cstheme="minorHAnsi"/>
                <w:sz w:val="22"/>
                <w:szCs w:val="22"/>
              </w:rPr>
            </w:pPr>
            <w:r w:rsidRPr="00585CEE">
              <w:rPr>
                <w:rFonts w:ascii="Geomanist" w:hAnsi="Geomanist" w:cstheme="minorHAnsi"/>
                <w:sz w:val="22"/>
                <w:szCs w:val="22"/>
              </w:rPr>
              <w:t>94.44%</w:t>
            </w:r>
          </w:p>
        </w:tc>
      </w:tr>
      <w:tr w:rsidR="0080422C" w:rsidRPr="00585CEE" w14:paraId="46945B82" w14:textId="2C6214DB" w:rsidTr="008D5ED9">
        <w:tc>
          <w:tcPr>
            <w:tcW w:w="5524" w:type="dxa"/>
          </w:tcPr>
          <w:p w14:paraId="0B982039" w14:textId="77777777" w:rsidR="0080422C" w:rsidRPr="00585CEE" w:rsidRDefault="0080422C" w:rsidP="0017012F">
            <w:pPr>
              <w:widowControl w:val="0"/>
              <w:suppressAutoHyphens/>
              <w:autoSpaceDE w:val="0"/>
              <w:autoSpaceDN w:val="0"/>
              <w:adjustRightInd w:val="0"/>
              <w:rPr>
                <w:rFonts w:ascii="Geomanist" w:hAnsi="Geomanist" w:cstheme="minorHAnsi"/>
                <w:sz w:val="22"/>
                <w:szCs w:val="22"/>
              </w:rPr>
            </w:pPr>
            <w:r w:rsidRPr="00585CEE">
              <w:rPr>
                <w:rFonts w:ascii="Geomanist" w:hAnsi="Geomanist" w:cstheme="minorHAnsi"/>
                <w:sz w:val="22"/>
                <w:szCs w:val="22"/>
              </w:rPr>
              <w:t>Resultado de la verificación a la Dimensión Acciones de Capacitación</w:t>
            </w:r>
          </w:p>
        </w:tc>
        <w:tc>
          <w:tcPr>
            <w:tcW w:w="1984" w:type="dxa"/>
            <w:vAlign w:val="center"/>
          </w:tcPr>
          <w:p w14:paraId="62C8A5FA" w14:textId="77777777" w:rsidR="0080422C" w:rsidRPr="00585CEE" w:rsidRDefault="0080422C" w:rsidP="0017012F">
            <w:pPr>
              <w:widowControl w:val="0"/>
              <w:suppressAutoHyphens/>
              <w:autoSpaceDE w:val="0"/>
              <w:autoSpaceDN w:val="0"/>
              <w:adjustRightInd w:val="0"/>
              <w:jc w:val="center"/>
              <w:rPr>
                <w:rFonts w:ascii="Geomanist" w:hAnsi="Geomanist" w:cstheme="minorHAnsi"/>
                <w:sz w:val="22"/>
                <w:szCs w:val="22"/>
              </w:rPr>
            </w:pPr>
            <w:r w:rsidRPr="00585CEE">
              <w:rPr>
                <w:rFonts w:ascii="Geomanist" w:hAnsi="Geomanist" w:cstheme="minorHAnsi"/>
                <w:sz w:val="22"/>
                <w:szCs w:val="22"/>
              </w:rPr>
              <w:t>94.44%</w:t>
            </w:r>
          </w:p>
        </w:tc>
        <w:tc>
          <w:tcPr>
            <w:tcW w:w="1985" w:type="dxa"/>
            <w:vAlign w:val="center"/>
          </w:tcPr>
          <w:p w14:paraId="49C6E788" w14:textId="1055AEEF" w:rsidR="0080422C" w:rsidRPr="00585CEE" w:rsidRDefault="0080422C" w:rsidP="0017012F">
            <w:pPr>
              <w:widowControl w:val="0"/>
              <w:suppressAutoHyphens/>
              <w:autoSpaceDE w:val="0"/>
              <w:autoSpaceDN w:val="0"/>
              <w:adjustRightInd w:val="0"/>
              <w:jc w:val="center"/>
              <w:rPr>
                <w:rFonts w:ascii="Geomanist" w:hAnsi="Geomanist" w:cstheme="minorHAnsi"/>
                <w:sz w:val="22"/>
                <w:szCs w:val="22"/>
              </w:rPr>
            </w:pPr>
            <w:r w:rsidRPr="00585CEE">
              <w:rPr>
                <w:rFonts w:ascii="Geomanist" w:hAnsi="Geomanist" w:cstheme="minorHAnsi"/>
                <w:sz w:val="22"/>
                <w:szCs w:val="22"/>
              </w:rPr>
              <w:t>Pendiente</w:t>
            </w:r>
          </w:p>
        </w:tc>
      </w:tr>
    </w:tbl>
    <w:p w14:paraId="44877573" w14:textId="77777777" w:rsidR="0080422C" w:rsidRPr="00585CEE" w:rsidRDefault="0080422C" w:rsidP="0017012F">
      <w:pPr>
        <w:widowControl w:val="0"/>
        <w:suppressAutoHyphens/>
        <w:autoSpaceDE w:val="0"/>
        <w:autoSpaceDN w:val="0"/>
        <w:adjustRightInd w:val="0"/>
        <w:jc w:val="both"/>
        <w:rPr>
          <w:rFonts w:ascii="Geomanist" w:hAnsi="Geomanist" w:cs="Arial"/>
          <w:sz w:val="22"/>
          <w:szCs w:val="22"/>
          <w:u w:val="single"/>
        </w:rPr>
      </w:pPr>
    </w:p>
    <w:p w14:paraId="1BB193D9" w14:textId="77777777" w:rsidR="0080422C" w:rsidRPr="00585CEE" w:rsidRDefault="0080422C" w:rsidP="0017012F">
      <w:pPr>
        <w:widowControl w:val="0"/>
        <w:suppressAutoHyphens/>
        <w:autoSpaceDE w:val="0"/>
        <w:autoSpaceDN w:val="0"/>
        <w:adjustRightInd w:val="0"/>
        <w:jc w:val="both"/>
        <w:rPr>
          <w:rFonts w:ascii="Geomanist" w:hAnsi="Geomanist" w:cs="Arial"/>
          <w:sz w:val="22"/>
          <w:szCs w:val="22"/>
          <w:u w:val="single"/>
        </w:rPr>
      </w:pPr>
    </w:p>
    <w:p w14:paraId="0681A1DC" w14:textId="77777777" w:rsidR="0080422C" w:rsidRPr="00152BF9" w:rsidRDefault="0080422C" w:rsidP="0017012F">
      <w:pPr>
        <w:widowControl w:val="0"/>
        <w:numPr>
          <w:ilvl w:val="0"/>
          <w:numId w:val="27"/>
        </w:numPr>
        <w:suppressAutoHyphens/>
        <w:autoSpaceDE w:val="0"/>
        <w:autoSpaceDN w:val="0"/>
        <w:adjustRightInd w:val="0"/>
        <w:jc w:val="both"/>
        <w:rPr>
          <w:rFonts w:ascii="Geomanist" w:hAnsi="Geomanist" w:cs="Arial"/>
          <w:b/>
          <w:sz w:val="22"/>
          <w:szCs w:val="22"/>
          <w:u w:val="single"/>
        </w:rPr>
      </w:pPr>
      <w:r w:rsidRPr="00152BF9">
        <w:rPr>
          <w:rFonts w:ascii="Geomanist" w:hAnsi="Geomanist" w:cs="Arial"/>
          <w:b/>
          <w:sz w:val="22"/>
          <w:szCs w:val="22"/>
          <w:u w:val="single"/>
        </w:rPr>
        <w:t>Cumplimiento a la actualización de Índices de Expedientes Reservados y Sistema de Datos Personales</w:t>
      </w:r>
    </w:p>
    <w:p w14:paraId="362B26FA" w14:textId="77777777" w:rsidR="0080422C" w:rsidRPr="00585CEE" w:rsidRDefault="0080422C" w:rsidP="0017012F">
      <w:pPr>
        <w:widowControl w:val="0"/>
        <w:suppressAutoHyphens/>
        <w:autoSpaceDE w:val="0"/>
        <w:autoSpaceDN w:val="0"/>
        <w:adjustRightInd w:val="0"/>
        <w:jc w:val="both"/>
        <w:rPr>
          <w:rFonts w:ascii="Geomanist" w:eastAsia="SimSun" w:hAnsi="Geomanist" w:cs="Arial"/>
          <w:kern w:val="1"/>
          <w:sz w:val="22"/>
          <w:szCs w:val="22"/>
          <w:lang w:eastAsia="hi-IN" w:bidi="hi-IN"/>
        </w:rPr>
      </w:pPr>
    </w:p>
    <w:p w14:paraId="486A9B98" w14:textId="3CE00138" w:rsidR="0017012F" w:rsidRPr="00585CEE" w:rsidRDefault="0017012F" w:rsidP="0017012F">
      <w:pPr>
        <w:tabs>
          <w:tab w:val="left" w:pos="927"/>
        </w:tabs>
        <w:autoSpaceDE w:val="0"/>
        <w:autoSpaceDN w:val="0"/>
        <w:adjustRightInd w:val="0"/>
        <w:jc w:val="both"/>
        <w:rPr>
          <w:rFonts w:ascii="Geomanist" w:hAnsi="Geomanist"/>
          <w:sz w:val="22"/>
          <w:szCs w:val="22"/>
        </w:rPr>
      </w:pPr>
      <w:r w:rsidRPr="00585CEE">
        <w:rPr>
          <w:rFonts w:ascii="Geomanist" w:hAnsi="Geomanist" w:cs="Arial"/>
          <w:b/>
          <w:sz w:val="22"/>
          <w:szCs w:val="22"/>
        </w:rPr>
        <w:t>Índices de Expedientes Reservados</w:t>
      </w:r>
    </w:p>
    <w:p w14:paraId="3083052F" w14:textId="43CE643D" w:rsidR="0080422C" w:rsidRPr="00585CEE" w:rsidRDefault="0017012F" w:rsidP="0017012F">
      <w:pPr>
        <w:tabs>
          <w:tab w:val="left" w:pos="927"/>
        </w:tabs>
        <w:autoSpaceDE w:val="0"/>
        <w:autoSpaceDN w:val="0"/>
        <w:adjustRightInd w:val="0"/>
        <w:jc w:val="both"/>
        <w:rPr>
          <w:rFonts w:ascii="Geomanist" w:hAnsi="Geomanist" w:cs="Arial"/>
          <w:sz w:val="22"/>
          <w:szCs w:val="22"/>
          <w:lang w:eastAsia="es-MX"/>
        </w:rPr>
      </w:pPr>
      <w:r w:rsidRPr="00585CEE">
        <w:rPr>
          <w:rFonts w:ascii="Geomanist" w:hAnsi="Geomanist"/>
          <w:sz w:val="22"/>
          <w:szCs w:val="22"/>
        </w:rPr>
        <w:t>D</w:t>
      </w:r>
      <w:r w:rsidR="006A663D" w:rsidRPr="00585CEE">
        <w:rPr>
          <w:rFonts w:ascii="Geomanist" w:hAnsi="Geomanist"/>
          <w:sz w:val="22"/>
          <w:szCs w:val="22"/>
        </w:rPr>
        <w:t xml:space="preserve">e </w:t>
      </w:r>
      <w:r w:rsidR="0080422C" w:rsidRPr="00585CEE">
        <w:rPr>
          <w:rFonts w:ascii="Geomanist" w:eastAsia="SimSun" w:hAnsi="Geomanist" w:cs="Arial"/>
          <w:kern w:val="1"/>
          <w:sz w:val="22"/>
          <w:szCs w:val="22"/>
          <w:lang w:eastAsia="hi-IN" w:bidi="hi-IN"/>
        </w:rPr>
        <w:t xml:space="preserve">conformidad con los </w:t>
      </w:r>
      <w:r w:rsidR="0080422C" w:rsidRPr="00585CEE">
        <w:rPr>
          <w:rFonts w:ascii="Geomanist" w:hAnsi="Geomanist" w:cs="Arial"/>
          <w:sz w:val="22"/>
          <w:szCs w:val="22"/>
          <w:lang w:eastAsia="es-MX"/>
        </w:rPr>
        <w:t>“</w:t>
      </w:r>
      <w:r w:rsidR="0080422C" w:rsidRPr="00585CEE">
        <w:rPr>
          <w:rFonts w:ascii="Geomanist" w:hAnsi="Geomanist" w:cs="Arial"/>
          <w:i/>
          <w:sz w:val="22"/>
          <w:szCs w:val="22"/>
          <w:lang w:eastAsia="es-MX"/>
        </w:rPr>
        <w:t>Lineamientos generales en materia de clasificación de la información, así como la elaboración de versiones públicas</w:t>
      </w:r>
      <w:r w:rsidR="0080422C" w:rsidRPr="00585CEE">
        <w:rPr>
          <w:rFonts w:ascii="Geomanist" w:hAnsi="Geomanist" w:cs="Arial"/>
          <w:sz w:val="22"/>
          <w:szCs w:val="22"/>
          <w:lang w:eastAsia="es-MX"/>
        </w:rPr>
        <w:t xml:space="preserve">” </w:t>
      </w:r>
      <w:r w:rsidR="006A663D" w:rsidRPr="00585CEE">
        <w:rPr>
          <w:rFonts w:ascii="Geomanist" w:hAnsi="Geomanist" w:cs="Arial"/>
          <w:sz w:val="22"/>
          <w:szCs w:val="22"/>
          <w:lang w:eastAsia="es-MX"/>
        </w:rPr>
        <w:t>El Colegio de la Frontera Sur (ECOSUR),</w:t>
      </w:r>
      <w:r w:rsidR="006A663D" w:rsidRPr="00585CEE">
        <w:rPr>
          <w:rFonts w:ascii="Geomanist" w:hAnsi="Geomanist"/>
          <w:sz w:val="22"/>
          <w:szCs w:val="22"/>
        </w:rPr>
        <w:t xml:space="preserve"> </w:t>
      </w:r>
      <w:r w:rsidR="006A663D" w:rsidRPr="00585CEE">
        <w:rPr>
          <w:rFonts w:ascii="Geomanist" w:hAnsi="Geomanist" w:cs="Arial"/>
          <w:sz w:val="22"/>
          <w:szCs w:val="22"/>
          <w:lang w:eastAsia="es-MX"/>
        </w:rPr>
        <w:t xml:space="preserve">al primer semestre de 2024, cuenta con un expediente clasificado como reservado, el cual se encuentra publicado en </w:t>
      </w:r>
      <w:r w:rsidR="0080422C" w:rsidRPr="00585CEE">
        <w:rPr>
          <w:rFonts w:ascii="Geomanist" w:hAnsi="Geomanist" w:cs="Arial"/>
          <w:sz w:val="22"/>
          <w:szCs w:val="22"/>
          <w:lang w:eastAsia="es-MX"/>
        </w:rPr>
        <w:t>el portal institucional</w:t>
      </w:r>
      <w:r w:rsidR="00526884" w:rsidRPr="00585CEE">
        <w:rPr>
          <w:rFonts w:ascii="Geomanist" w:hAnsi="Geomanist" w:cs="Arial"/>
          <w:sz w:val="22"/>
          <w:szCs w:val="22"/>
          <w:lang w:eastAsia="es-MX"/>
        </w:rPr>
        <w:t xml:space="preserve"> </w:t>
      </w:r>
      <w:hyperlink r:id="rId8" w:history="1">
        <w:r w:rsidR="00526884" w:rsidRPr="00585CEE">
          <w:rPr>
            <w:rStyle w:val="Hipervnculo"/>
            <w:rFonts w:ascii="Geomanist" w:hAnsi="Geomanist" w:cstheme="minorHAnsi"/>
            <w:sz w:val="22"/>
            <w:szCs w:val="22"/>
            <w:lang w:eastAsia="es-MX"/>
          </w:rPr>
          <w:t>https://www.ecosur.mx/transparenciafocalizada/indice-de-expedientes-reservados/</w:t>
        </w:r>
      </w:hyperlink>
    </w:p>
    <w:p w14:paraId="2D6AB70A" w14:textId="77777777" w:rsidR="0080422C" w:rsidRPr="00585CEE" w:rsidRDefault="0080422C" w:rsidP="0017012F">
      <w:pPr>
        <w:tabs>
          <w:tab w:val="left" w:pos="927"/>
        </w:tabs>
        <w:autoSpaceDE w:val="0"/>
        <w:autoSpaceDN w:val="0"/>
        <w:adjustRightInd w:val="0"/>
        <w:jc w:val="both"/>
        <w:rPr>
          <w:rFonts w:ascii="Geomanist" w:hAnsi="Geomanist" w:cs="Arial"/>
          <w:sz w:val="22"/>
          <w:szCs w:val="22"/>
          <w:lang w:eastAsia="es-MX"/>
        </w:rPr>
      </w:pPr>
    </w:p>
    <w:p w14:paraId="7E19DB7B" w14:textId="77777777" w:rsidR="0017012F" w:rsidRPr="00585CEE" w:rsidRDefault="0017012F" w:rsidP="0017012F">
      <w:pPr>
        <w:jc w:val="both"/>
        <w:rPr>
          <w:rFonts w:ascii="Geomanist" w:hAnsi="Geomanist" w:cs="Arial"/>
          <w:sz w:val="22"/>
          <w:szCs w:val="22"/>
        </w:rPr>
      </w:pPr>
      <w:r w:rsidRPr="00585CEE">
        <w:rPr>
          <w:rFonts w:ascii="Geomanist" w:hAnsi="Geomanist" w:cs="Arial"/>
          <w:b/>
          <w:sz w:val="22"/>
          <w:szCs w:val="22"/>
        </w:rPr>
        <w:t>Sistema de Datos Personales</w:t>
      </w:r>
      <w:r w:rsidRPr="00585CEE">
        <w:rPr>
          <w:rFonts w:ascii="Geomanist" w:hAnsi="Geomanist" w:cs="Arial"/>
          <w:sz w:val="22"/>
          <w:szCs w:val="22"/>
        </w:rPr>
        <w:t xml:space="preserve"> </w:t>
      </w:r>
    </w:p>
    <w:p w14:paraId="7CE3E732" w14:textId="511A6ECF" w:rsidR="006A663D" w:rsidRPr="00585CEE" w:rsidRDefault="006A663D" w:rsidP="0017012F">
      <w:pPr>
        <w:jc w:val="both"/>
        <w:rPr>
          <w:rFonts w:ascii="Geomanist" w:hAnsi="Geomanist" w:cs="Arial"/>
          <w:sz w:val="22"/>
          <w:szCs w:val="22"/>
        </w:rPr>
      </w:pPr>
      <w:r w:rsidRPr="00585CEE">
        <w:rPr>
          <w:rFonts w:ascii="Geomanist" w:hAnsi="Geomanist" w:cs="Arial"/>
          <w:sz w:val="22"/>
          <w:szCs w:val="22"/>
        </w:rPr>
        <w:t xml:space="preserve">Para dar cumplimiento a la Ley General de Protección de Datos Personales las actividades realizadas en el periodo enero-junio fueron: actualizar los avisos de privacidad simplificados e integrales, así como actualizar el inventario de los avisos de privacidad existentes seccionado por tratamiento y unidad. Se dieron 3 cursos presenciales a distintas áreas sobre la elaboración de aviso de privacidad integral y simplificado. Actualización al trimestre correspondiente las vertientes del documento Técnico de Evaluación, con respecto a este Documento, se solicitó un oficio en el cual se destinan recursos para la instrumentación de programas y políticas de protección de datos personales. Se actualizó el programa de capacitación en materia de protección de datos personales y se publicó en el criterio correspondiente. Sobre la aplicación de los mecanismos de monitoreo y revisión, se solicitó una evaluación diagnostica a la </w:t>
      </w:r>
      <w:r w:rsidRPr="00585CEE">
        <w:rPr>
          <w:rFonts w:ascii="Geomanist" w:hAnsi="Geomanist" w:cs="Arial"/>
          <w:sz w:val="22"/>
          <w:szCs w:val="22"/>
          <w:lang w:val="es-ES"/>
        </w:rPr>
        <w:t>Dirección General de Evaluación, Investigación y Verificación del Sector Público</w:t>
      </w:r>
      <w:r w:rsidRPr="00585CEE">
        <w:rPr>
          <w:rFonts w:ascii="Geomanist" w:hAnsi="Geomanist" w:cs="Arial"/>
          <w:sz w:val="22"/>
          <w:szCs w:val="22"/>
        </w:rPr>
        <w:t xml:space="preserve"> del INAI, la cual evaluó los formatos del apartado de protección de datos personales de la página de la institución, como resultado se obtuvo un porcentaje 95.36%, el cual refleja el nivel de cumplimiento obligatorio de la LGPDPPSO. Lo siguiente fue relacionado al documento de seguridad, se ha actualizado según la información nueva, se han dado 22 cursos (acompañamientos) presenciales sobre el llenado del análisis de riesgo, brecha y plan de trabajo. Se solicit</w:t>
      </w:r>
      <w:r w:rsidR="0017012F" w:rsidRPr="00585CEE">
        <w:rPr>
          <w:rFonts w:ascii="Geomanist" w:hAnsi="Geomanist" w:cs="Arial"/>
          <w:sz w:val="22"/>
          <w:szCs w:val="22"/>
        </w:rPr>
        <w:t>ó</w:t>
      </w:r>
      <w:r w:rsidRPr="00585CEE">
        <w:rPr>
          <w:rFonts w:ascii="Geomanist" w:hAnsi="Geomanist" w:cs="Arial"/>
          <w:sz w:val="22"/>
          <w:szCs w:val="22"/>
        </w:rPr>
        <w:t xml:space="preserve"> la adhesión a la Red federal de Unidades de transparencia para poder formar parte de la Alianza para Avanzar Progresivamente en la Implementación de Medidas de Accesibilidad y Traducción a Lenguas Indígenas. </w:t>
      </w:r>
    </w:p>
    <w:p w14:paraId="36E5DD2B" w14:textId="77777777" w:rsidR="006A663D" w:rsidRDefault="006A663D" w:rsidP="0017012F">
      <w:pPr>
        <w:jc w:val="both"/>
        <w:rPr>
          <w:rFonts w:ascii="Geomanist" w:hAnsi="Geomanist" w:cs="Arial"/>
          <w:sz w:val="22"/>
          <w:szCs w:val="22"/>
        </w:rPr>
      </w:pPr>
    </w:p>
    <w:p w14:paraId="32BCE7A9" w14:textId="77777777" w:rsidR="00152BF9" w:rsidRDefault="00152BF9" w:rsidP="0017012F">
      <w:pPr>
        <w:jc w:val="both"/>
        <w:rPr>
          <w:rFonts w:ascii="Geomanist" w:hAnsi="Geomanist" w:cs="Arial"/>
          <w:sz w:val="22"/>
          <w:szCs w:val="22"/>
        </w:rPr>
      </w:pPr>
    </w:p>
    <w:p w14:paraId="1D338A6D" w14:textId="0343EB28" w:rsidR="00581B16" w:rsidRPr="00152BF9" w:rsidRDefault="00581B16" w:rsidP="00581B16">
      <w:pPr>
        <w:widowControl w:val="0"/>
        <w:numPr>
          <w:ilvl w:val="0"/>
          <w:numId w:val="27"/>
        </w:numPr>
        <w:suppressAutoHyphens/>
        <w:autoSpaceDE w:val="0"/>
        <w:autoSpaceDN w:val="0"/>
        <w:adjustRightInd w:val="0"/>
        <w:jc w:val="both"/>
        <w:rPr>
          <w:rFonts w:ascii="Geomanist" w:hAnsi="Geomanist" w:cs="Arial"/>
          <w:sz w:val="22"/>
          <w:szCs w:val="22"/>
          <w:u w:val="single"/>
        </w:rPr>
      </w:pPr>
      <w:r w:rsidRPr="00152BF9">
        <w:rPr>
          <w:rFonts w:ascii="Geomanist" w:hAnsi="Geomanist" w:cs="Arial"/>
          <w:b/>
          <w:bCs/>
          <w:sz w:val="22"/>
          <w:szCs w:val="22"/>
          <w:u w:val="single"/>
        </w:rPr>
        <w:t>Organización y Actualización de Archivos</w:t>
      </w:r>
      <w:r w:rsidRPr="00152BF9">
        <w:rPr>
          <w:rFonts w:ascii="Geomanist" w:hAnsi="Geomanist" w:cs="Arial"/>
          <w:sz w:val="22"/>
          <w:szCs w:val="22"/>
          <w:u w:val="single"/>
        </w:rPr>
        <w:t>.</w:t>
      </w:r>
    </w:p>
    <w:p w14:paraId="5D522FF1" w14:textId="77777777" w:rsidR="00581B16" w:rsidRPr="00581B16" w:rsidRDefault="00581B16" w:rsidP="00581B16">
      <w:pPr>
        <w:jc w:val="both"/>
        <w:rPr>
          <w:rFonts w:ascii="Geomanist" w:hAnsi="Geomanist" w:cs="Arial"/>
          <w:sz w:val="22"/>
          <w:szCs w:val="22"/>
        </w:rPr>
      </w:pPr>
    </w:p>
    <w:p w14:paraId="3506212B" w14:textId="77777777" w:rsidR="00581B16" w:rsidRPr="00581B16" w:rsidRDefault="00581B16" w:rsidP="00581B16">
      <w:pPr>
        <w:jc w:val="both"/>
        <w:rPr>
          <w:rFonts w:ascii="Geomanist" w:hAnsi="Geomanist" w:cs="Arial"/>
          <w:sz w:val="22"/>
          <w:szCs w:val="22"/>
        </w:rPr>
      </w:pPr>
      <w:r w:rsidRPr="00581B16">
        <w:rPr>
          <w:rFonts w:ascii="Geomanist" w:hAnsi="Geomanist" w:cs="Arial"/>
          <w:sz w:val="22"/>
          <w:szCs w:val="22"/>
        </w:rPr>
        <w:t xml:space="preserve">El Colegio de la Frontera Sur “ECOSUR” ha realizado acciones que permiten dar continuidad al cumplimiento a la Ley General de Archivos “LGA”, teniendo como principal objetivo garantizar la organización, integridad y conservación de los expedientes, en cada una de sus etapas; fortaleciendo con ello la Transparencia y la Rendición de Cuentas. </w:t>
      </w:r>
    </w:p>
    <w:p w14:paraId="473348AF" w14:textId="77777777" w:rsidR="00581B16" w:rsidRPr="00581B16" w:rsidRDefault="00581B16" w:rsidP="00581B16">
      <w:pPr>
        <w:jc w:val="both"/>
        <w:rPr>
          <w:rFonts w:ascii="Geomanist" w:hAnsi="Geomanist" w:cs="Arial"/>
          <w:sz w:val="22"/>
          <w:szCs w:val="22"/>
        </w:rPr>
      </w:pPr>
    </w:p>
    <w:p w14:paraId="15784827" w14:textId="77777777" w:rsidR="00581B16" w:rsidRPr="00581B16" w:rsidRDefault="00581B16" w:rsidP="00581B16">
      <w:pPr>
        <w:jc w:val="both"/>
        <w:rPr>
          <w:rFonts w:ascii="Geomanist" w:hAnsi="Geomanist" w:cs="Arial"/>
          <w:sz w:val="22"/>
          <w:szCs w:val="22"/>
        </w:rPr>
      </w:pPr>
      <w:r w:rsidRPr="00581B16">
        <w:rPr>
          <w:rFonts w:ascii="Geomanist" w:hAnsi="Geomanist" w:cs="Arial"/>
          <w:sz w:val="22"/>
          <w:szCs w:val="22"/>
        </w:rPr>
        <w:t xml:space="preserve">Tomando en consideración a la LGA que entró en vigor en el 2019, y derivado de que la actualización de los instrumentos de control y consulta archivística de ECOSUR eran del ejercicio 2014, en junio de 2023 se inició el proyecto de actualización de los instrumentos de control y de consulta archivísticos: Cuadro General de Clasificación Archivística y Catálogo de Disposición </w:t>
      </w:r>
      <w:r w:rsidRPr="00581B16">
        <w:rPr>
          <w:rFonts w:ascii="Geomanist" w:hAnsi="Geomanist" w:cs="Arial"/>
          <w:sz w:val="22"/>
          <w:szCs w:val="22"/>
        </w:rPr>
        <w:lastRenderedPageBreak/>
        <w:t>Documental; concluyendo el proceso en enero de 2024,  recibiendo el dictamen de validación de procedente por parte del Archivo General de la Nación “AGN” DV/001/2024 de fecha 31 de enero de 2024, la actualización se encuentra publicada en el espacio del Archivo Institucional https://www.ecosur.mx/wp-content/uploads/2024/02/Catalogo-de-Disposicion-Documental-de-ECOSUR-DV-001-2024.pdf</w:t>
      </w:r>
    </w:p>
    <w:p w14:paraId="4274CD32" w14:textId="77777777" w:rsidR="00581B16" w:rsidRPr="00581B16" w:rsidRDefault="00581B16" w:rsidP="00581B16">
      <w:pPr>
        <w:jc w:val="both"/>
        <w:rPr>
          <w:rFonts w:ascii="Geomanist" w:hAnsi="Geomanist" w:cs="Arial"/>
          <w:sz w:val="22"/>
          <w:szCs w:val="22"/>
        </w:rPr>
      </w:pPr>
    </w:p>
    <w:p w14:paraId="15F0C684" w14:textId="77777777" w:rsidR="00581B16" w:rsidRPr="00581B16" w:rsidRDefault="00581B16" w:rsidP="00581B16">
      <w:pPr>
        <w:jc w:val="both"/>
        <w:rPr>
          <w:rFonts w:ascii="Geomanist" w:hAnsi="Geomanist" w:cs="Arial"/>
          <w:sz w:val="22"/>
          <w:szCs w:val="22"/>
        </w:rPr>
      </w:pPr>
      <w:r w:rsidRPr="00581B16">
        <w:rPr>
          <w:rFonts w:ascii="Geomanist" w:hAnsi="Geomanist" w:cs="Arial"/>
          <w:sz w:val="22"/>
          <w:szCs w:val="22"/>
        </w:rPr>
        <w:t>Las principales acciones para el cumplimiento normativo en materia de archivos se detallan en el Programa Anual de Desarrollo Archivístico “PADA”; el PADA 2024, quedó formalizado y publicado en el mes de enero, en el cual, se puntualiza el alcance y objetivos que enmarcan la labor esencial en materia de archivos guiada por la Coordinación de Archivos, siendo el instrumento archivístico que nos permite organizarnos, guiarnos y el cual nos permite dar seguimientos oportunos. Asimismo, se ha elaborado el Informe anual de cumplimientos al programa anual de desarrollo archivístico del año inmediato anterior, en el cual, se detallan los alcances logrados en el ejercicio y las necesidades presentadas para el desarrollo de mejoras. Ambos instrumentos se encuentran publicados en el espacio de Archivo Institucional https://www.ecosur.mx/ArchivoInstitucional/.</w:t>
      </w:r>
    </w:p>
    <w:p w14:paraId="50FC7724" w14:textId="77777777" w:rsidR="00581B16" w:rsidRPr="00581B16" w:rsidRDefault="00581B16" w:rsidP="00581B16">
      <w:pPr>
        <w:jc w:val="both"/>
        <w:rPr>
          <w:rFonts w:ascii="Geomanist" w:hAnsi="Geomanist" w:cs="Arial"/>
          <w:sz w:val="22"/>
          <w:szCs w:val="22"/>
        </w:rPr>
      </w:pPr>
    </w:p>
    <w:p w14:paraId="00737AF8" w14:textId="77777777" w:rsidR="00581B16" w:rsidRPr="00581B16" w:rsidRDefault="00581B16" w:rsidP="00581B16">
      <w:pPr>
        <w:jc w:val="both"/>
        <w:rPr>
          <w:rFonts w:ascii="Geomanist" w:hAnsi="Geomanist" w:cs="Arial"/>
          <w:sz w:val="22"/>
          <w:szCs w:val="22"/>
        </w:rPr>
      </w:pPr>
      <w:r w:rsidRPr="00581B16">
        <w:rPr>
          <w:rFonts w:ascii="Geomanist" w:hAnsi="Geomanist" w:cs="Arial"/>
          <w:sz w:val="22"/>
          <w:szCs w:val="22"/>
        </w:rPr>
        <w:t>Como parte del PADA, se encuentra el programa de capacitación en materia de archivos dirigido a las personas responsables y operadoras de archivos, por lo que en el mes de junio de 2024 se llevó a cabo la capacitación en materia de archivos en la modalidad presencial a distancia sobre el tema denominado “Disposición Documental: Procesos y Procedimientos”, teniendo la participación de las personas que se encuentran desarrollando actividades archivísticas, responsables y operadores de archivos.</w:t>
      </w:r>
    </w:p>
    <w:p w14:paraId="69413C3B" w14:textId="77777777" w:rsidR="00581B16" w:rsidRPr="00581B16" w:rsidRDefault="00581B16" w:rsidP="00581B16">
      <w:pPr>
        <w:jc w:val="both"/>
        <w:rPr>
          <w:rFonts w:ascii="Geomanist" w:hAnsi="Geomanist" w:cs="Arial"/>
          <w:sz w:val="22"/>
          <w:szCs w:val="22"/>
        </w:rPr>
      </w:pPr>
    </w:p>
    <w:p w14:paraId="06B08FDC" w14:textId="284A27E6" w:rsidR="00581B16" w:rsidRPr="00581B16" w:rsidRDefault="00581B16" w:rsidP="00581B16">
      <w:pPr>
        <w:jc w:val="both"/>
        <w:rPr>
          <w:rFonts w:ascii="Geomanist" w:hAnsi="Geomanist" w:cs="Arial"/>
          <w:sz w:val="22"/>
          <w:szCs w:val="22"/>
        </w:rPr>
      </w:pPr>
      <w:r w:rsidRPr="00581B16">
        <w:rPr>
          <w:rFonts w:ascii="Geomanist" w:hAnsi="Geomanist" w:cs="Arial"/>
          <w:sz w:val="22"/>
          <w:szCs w:val="22"/>
        </w:rPr>
        <w:t>El Sistema Institucional de Archivos “SIA”, se encuentra integrado por: Área Coordinadora de Archivos, Áreas de Correspondencia, Archivos de Trámite, y Archivos de Concentración por Unidad Administrativa; en enero, se actualizó la Guía de Archivo Documental, conforme a los nombramientos y/o ratificaciones de las personas responsables en materia de archivos que se encuentran contemplados en el SIA. La Guía, se encuentra publicada en el espacio del Archivo Institucional:https://www.ecosur.mx/wp-content/uploads/2024/02/Guia-de-Archivo-Documental-de-ECOSUR-2024.pdf.</w:t>
      </w:r>
    </w:p>
    <w:p w14:paraId="3E8BA37E" w14:textId="77777777" w:rsidR="00581B16" w:rsidRPr="00581B16" w:rsidRDefault="00581B16" w:rsidP="00581B16">
      <w:pPr>
        <w:jc w:val="both"/>
        <w:rPr>
          <w:rFonts w:ascii="Geomanist" w:hAnsi="Geomanist" w:cs="Arial"/>
          <w:sz w:val="22"/>
          <w:szCs w:val="22"/>
        </w:rPr>
      </w:pPr>
    </w:p>
    <w:p w14:paraId="0E0BF7F0" w14:textId="77777777" w:rsidR="00581B16" w:rsidRPr="00581B16" w:rsidRDefault="00581B16" w:rsidP="00581B16">
      <w:pPr>
        <w:jc w:val="both"/>
        <w:rPr>
          <w:rFonts w:ascii="Geomanist" w:hAnsi="Geomanist" w:cs="Arial"/>
          <w:sz w:val="22"/>
          <w:szCs w:val="22"/>
        </w:rPr>
      </w:pPr>
      <w:r w:rsidRPr="00581B16">
        <w:rPr>
          <w:rFonts w:ascii="Geomanist" w:hAnsi="Geomanist" w:cs="Arial"/>
          <w:sz w:val="22"/>
          <w:szCs w:val="22"/>
        </w:rPr>
        <w:t>El Grupo Interdisciplinario de Archivos de ECOSUR, llevo a cabo la Primera Sesión Ordinaria calendarizada en el mes de marzo de 2024, considerando temas de relativo interés en materia de archivos, tomando conocimiento de los cumplimientos normativos.</w:t>
      </w:r>
    </w:p>
    <w:p w14:paraId="7C335986" w14:textId="77777777" w:rsidR="00581B16" w:rsidRPr="00581B16" w:rsidRDefault="00581B16" w:rsidP="00581B16">
      <w:pPr>
        <w:jc w:val="both"/>
        <w:rPr>
          <w:rFonts w:ascii="Geomanist" w:hAnsi="Geomanist" w:cs="Arial"/>
          <w:sz w:val="22"/>
          <w:szCs w:val="22"/>
        </w:rPr>
      </w:pPr>
    </w:p>
    <w:p w14:paraId="58FE5161" w14:textId="77777777" w:rsidR="00581B16" w:rsidRPr="00581B16" w:rsidRDefault="00581B16" w:rsidP="00581B16">
      <w:pPr>
        <w:jc w:val="both"/>
        <w:rPr>
          <w:rFonts w:ascii="Geomanist" w:hAnsi="Geomanist" w:cs="Arial"/>
          <w:sz w:val="22"/>
          <w:szCs w:val="22"/>
        </w:rPr>
      </w:pPr>
      <w:r w:rsidRPr="00581B16">
        <w:rPr>
          <w:rFonts w:ascii="Geomanist" w:hAnsi="Geomanist" w:cs="Arial"/>
          <w:sz w:val="22"/>
          <w:szCs w:val="22"/>
        </w:rPr>
        <w:t>Conforme a lo detallado en la LGA, a junio de 2024, se ha publicado lo correspondiente al rubro de Archivos en el portal electrónico en la página principal de ECOSUR, en el espacio de Archivo Institucional https://www.ecosur.mx/ArchivoInstitucional/. Y en seguimiento al Anexo 1 del oficio circular DG/07/2022 emitido por el AGN, de enero a junio se ha notificado a dicha Instancia de los cumplimientos y actualizaciones realizadas en materia de archivos.</w:t>
      </w:r>
    </w:p>
    <w:p w14:paraId="2F84DF10" w14:textId="77777777" w:rsidR="00581B16" w:rsidRPr="00581B16" w:rsidRDefault="00581B16" w:rsidP="00581B16">
      <w:pPr>
        <w:jc w:val="both"/>
        <w:rPr>
          <w:rFonts w:ascii="Geomanist" w:hAnsi="Geomanist" w:cs="Arial"/>
          <w:sz w:val="22"/>
          <w:szCs w:val="22"/>
        </w:rPr>
      </w:pPr>
    </w:p>
    <w:p w14:paraId="176E4713" w14:textId="77777777" w:rsidR="00581B16" w:rsidRPr="00581B16" w:rsidRDefault="00581B16" w:rsidP="00581B16">
      <w:pPr>
        <w:jc w:val="both"/>
        <w:rPr>
          <w:rFonts w:ascii="Geomanist" w:hAnsi="Geomanist" w:cs="Arial"/>
          <w:sz w:val="22"/>
          <w:szCs w:val="22"/>
        </w:rPr>
      </w:pPr>
      <w:r w:rsidRPr="00581B16">
        <w:rPr>
          <w:rFonts w:ascii="Geomanist" w:hAnsi="Geomanist" w:cs="Arial"/>
          <w:sz w:val="22"/>
          <w:szCs w:val="22"/>
        </w:rPr>
        <w:t xml:space="preserve">Se realizaron las publicaciones actualizadas anuales y de primer trimestre, en el Sistema de Portales de Obligaciones de Transparencia “SIPOT”, de la información correspondientes al rubro del Artículo 70 Fracción XLV de la LGTAIP.- El Catálogo de Disposición y Guía de Archivo Documental, y con </w:t>
      </w:r>
      <w:r w:rsidRPr="00581B16">
        <w:rPr>
          <w:rFonts w:ascii="Geomanist" w:hAnsi="Geomanist" w:cs="Arial"/>
          <w:sz w:val="22"/>
          <w:szCs w:val="22"/>
        </w:rPr>
        <w:lastRenderedPageBreak/>
        <w:t>forme a lo dispuesto en los Lineamientos Técnicos Generales para la publicación, homologación y estandarización de la información de las obligaciones establecidas en el Título Quinto y en la fracción IV del artículo 31 de la LGTAIP, que deben de difundir los sujetos obligados en los portales de internet y en la Plataforma Nacional de Transparencia, y sus Acuerdos Modificatorios, se realizaron las publicaciones actualizadas en el SIPOT de la fracción XLV del artículo 70 de la LGTAIP: Programa Anual de Desarrollo Archivístico 2024, Informe anual de cumplimiento al programa anual 2023, lo referente a bajas documentales y/o transferencias secundarias, Catálogo de Disposición Documental, Cuadro General de Clasificación Archivística, Inventarios Documentales y Guía de Archivo Documental.</w:t>
      </w:r>
    </w:p>
    <w:p w14:paraId="7CA96AB5" w14:textId="77777777" w:rsidR="00581B16" w:rsidRPr="00581B16" w:rsidRDefault="00581B16" w:rsidP="00581B16">
      <w:pPr>
        <w:jc w:val="both"/>
        <w:rPr>
          <w:rFonts w:ascii="Geomanist" w:hAnsi="Geomanist" w:cs="Arial"/>
          <w:sz w:val="22"/>
          <w:szCs w:val="22"/>
        </w:rPr>
      </w:pPr>
    </w:p>
    <w:p w14:paraId="0A6F948C" w14:textId="77777777" w:rsidR="00581B16" w:rsidRPr="00581B16" w:rsidRDefault="00581B16" w:rsidP="00581B16">
      <w:pPr>
        <w:jc w:val="both"/>
        <w:rPr>
          <w:rFonts w:ascii="Geomanist" w:hAnsi="Geomanist" w:cs="Arial"/>
          <w:sz w:val="22"/>
          <w:szCs w:val="22"/>
        </w:rPr>
      </w:pPr>
      <w:r w:rsidRPr="00581B16">
        <w:rPr>
          <w:rFonts w:ascii="Geomanist" w:hAnsi="Geomanist" w:cs="Arial"/>
          <w:sz w:val="22"/>
          <w:szCs w:val="22"/>
        </w:rPr>
        <w:t xml:space="preserve">Dentro de las actividades esenciales en materia de archivos, de enero a junio, se ha dado cumplimiento a los informes correspondientes para Junta de Órgano de Gobierno, informe de gestión gubernamental e informe para auditoría externa; se ha dado respuesta oportuna a las solicitudes de información presentadas a la institución en materia de archivos, a través del sistema del Instituto Nacional de Transparencia; se realizaron los procesos de entrega-recepción de transferencias primarias, y se actualizaron los inventarios generales; los archivos de concentración han proporcionado los expedientes solicitados en préstamo y/o consulta, mediante los filtros internos correspondientes; asimismo, los expedientes en los archivos de trámite se encuentran organizados, clasificados, etiquetados e inventariados conforme a los instrumentos de control y consulta archivística de El Colegio, contando con las características necesarias para su localización pronta y expedita. </w:t>
      </w:r>
    </w:p>
    <w:p w14:paraId="75A27CD2" w14:textId="77777777" w:rsidR="00581B16" w:rsidRPr="00581B16" w:rsidRDefault="00581B16" w:rsidP="00581B16">
      <w:pPr>
        <w:jc w:val="both"/>
        <w:rPr>
          <w:rFonts w:ascii="Geomanist" w:hAnsi="Geomanist" w:cs="Arial"/>
          <w:sz w:val="22"/>
          <w:szCs w:val="22"/>
        </w:rPr>
      </w:pPr>
    </w:p>
    <w:p w14:paraId="759B8CCE" w14:textId="77777777" w:rsidR="00581B16" w:rsidRPr="00581B16" w:rsidRDefault="00581B16" w:rsidP="00581B16">
      <w:pPr>
        <w:jc w:val="both"/>
        <w:rPr>
          <w:rFonts w:ascii="Geomanist" w:hAnsi="Geomanist" w:cs="Arial"/>
          <w:sz w:val="22"/>
          <w:szCs w:val="22"/>
        </w:rPr>
      </w:pPr>
      <w:r w:rsidRPr="00581B16">
        <w:rPr>
          <w:rFonts w:ascii="Geomanist" w:hAnsi="Geomanist" w:cs="Arial"/>
          <w:sz w:val="22"/>
          <w:szCs w:val="22"/>
        </w:rPr>
        <w:t>Las acciones implementadas han permitido avanzar con la normatividad y las actividades esenciales en materia de archivos, no obstante, se continúa con limitaciones por la falta de, recursos humanos, personal para actividades específicas en los archivos de concentración por unidad administrativa; con los cambios normativos, de requerimientos, y de procedimientos, se ha incrementado considerablemente las actividades dentro de estos archivos de concentración; así como, la falta de equipo de cómputo y de respaldo acorde a las necesidades, los equipos con los que se trabaja se encuentran en estado de obsoletos. Asimismo, es de suma importancia considerar que las unidades administrativas se encuentran situadas en zonas de diversos riesgos naturales, como temblores e inundaciones, que ponen en riesgos tanto a las infraestructuras de las instalaciones, como a la información en papel que se tiene en resguardo.</w:t>
      </w:r>
    </w:p>
    <w:p w14:paraId="6B75B93D" w14:textId="77777777" w:rsidR="00581B16" w:rsidRPr="00581B16" w:rsidRDefault="00581B16" w:rsidP="00581B16">
      <w:pPr>
        <w:jc w:val="both"/>
        <w:rPr>
          <w:rFonts w:ascii="Geomanist" w:hAnsi="Geomanist" w:cs="Arial"/>
          <w:sz w:val="22"/>
          <w:szCs w:val="22"/>
        </w:rPr>
      </w:pPr>
    </w:p>
    <w:p w14:paraId="103E8E35" w14:textId="1E50437C" w:rsidR="00581B16" w:rsidRPr="00585CEE" w:rsidRDefault="00581B16" w:rsidP="00581B16">
      <w:pPr>
        <w:jc w:val="both"/>
        <w:rPr>
          <w:rFonts w:ascii="Geomanist" w:hAnsi="Geomanist" w:cs="Arial"/>
          <w:sz w:val="22"/>
          <w:szCs w:val="22"/>
        </w:rPr>
      </w:pPr>
      <w:r w:rsidRPr="00581B16">
        <w:rPr>
          <w:rFonts w:ascii="Geomanist" w:hAnsi="Geomanist" w:cs="Arial"/>
          <w:sz w:val="22"/>
          <w:szCs w:val="22"/>
        </w:rPr>
        <w:t>En ECOSUR, es prioridad proporcionar a los ciudadanos, la información que solicite, por ello, se da seguimiento al Programa Anual en la Protección de los Derechos Humanos, asegurándose que se guarde la confidencialidad de los datos personales, con el objetivo de garantizar el respeto a los derechos de las personas a quien se refiera la información, contribuyendo con esto a la defensa de los derechos humanos, el combate a la corrupción, la transparencia y la rendición de cuentas. En seguimiento a la Apertura Proactiva de la Información, en la página institucional (https://www.ecosur.mx/ArchivoInstitucional/), se encuentra información relevante en materia, a fin de hacerlos de conocimiento y acceso público; asimismo, se encuentra en el Sistema de Portales de Obligaciones de Transparencia “SIPOT”, del Instituto Nacional de Transparencia, Acceso a la Información y Protección de Datos Personales “INAI”.</w:t>
      </w:r>
    </w:p>
    <w:sectPr w:rsidR="00581B16" w:rsidRPr="00585CEE" w:rsidSect="00E10C27">
      <w:headerReference w:type="even" r:id="rId9"/>
      <w:headerReference w:type="default" r:id="rId10"/>
      <w:footerReference w:type="even" r:id="rId11"/>
      <w:footerReference w:type="default" r:id="rId12"/>
      <w:headerReference w:type="first" r:id="rId13"/>
      <w:footerReference w:type="first" r:id="rId14"/>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D0DB1" w14:textId="77777777" w:rsidR="0009522D" w:rsidRDefault="0009522D" w:rsidP="007E0161">
      <w:r>
        <w:separator/>
      </w:r>
    </w:p>
  </w:endnote>
  <w:endnote w:type="continuationSeparator" w:id="0">
    <w:p w14:paraId="78921187" w14:textId="77777777" w:rsidR="0009522D" w:rsidRDefault="0009522D" w:rsidP="007E0161">
      <w:r>
        <w:continuationSeparator/>
      </w:r>
    </w:p>
  </w:endnote>
  <w:endnote w:type="continuationNotice" w:id="1">
    <w:p w14:paraId="142A1604" w14:textId="77777777" w:rsidR="0009522D" w:rsidRDefault="00095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eomanist">
    <w:panose1 w:val="02000503000000020004"/>
    <w:charset w:val="00"/>
    <w:family w:val="modern"/>
    <w:notTrueType/>
    <w:pitch w:val="variable"/>
    <w:sig w:usb0="A000002F" w:usb1="1000004A"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4A5F6" w14:textId="77777777" w:rsidR="00F97054" w:rsidRDefault="00F970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154D" w14:textId="696C6D8E" w:rsidR="00E10C27" w:rsidRDefault="00ED3CFF" w:rsidP="00E10C27">
    <w:pPr>
      <w:tabs>
        <w:tab w:val="center" w:pos="4419"/>
        <w:tab w:val="right" w:pos="8838"/>
      </w:tabs>
      <w:jc w:val="center"/>
    </w:pPr>
    <w:r>
      <w:rPr>
        <w:rFonts w:ascii="Montserrat" w:eastAsia="Times New Roman" w:hAnsi="Montserrat" w:cs="Times New Roman"/>
        <w:sz w:val="20"/>
        <w:szCs w:val="20"/>
        <w:lang w:val="es-ES" w:eastAsia="es-MX"/>
      </w:rPr>
      <w:t>Segunda</w:t>
    </w:r>
    <w:r w:rsidR="00E10C27" w:rsidRPr="00E10C27">
      <w:rPr>
        <w:rFonts w:ascii="Montserrat" w:eastAsia="Times New Roman" w:hAnsi="Montserrat" w:cs="Times New Roman"/>
        <w:sz w:val="20"/>
        <w:szCs w:val="20"/>
        <w:lang w:val="es-ES" w:eastAsia="es-MX"/>
      </w:rPr>
      <w:t xml:space="preserve"> Sesión Ordinaria de Órgano de Gobierno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26148" w14:textId="77777777" w:rsidR="00F97054" w:rsidRDefault="00F970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15F72" w14:textId="77777777" w:rsidR="0009522D" w:rsidRDefault="0009522D" w:rsidP="007E0161">
      <w:r>
        <w:separator/>
      </w:r>
    </w:p>
  </w:footnote>
  <w:footnote w:type="continuationSeparator" w:id="0">
    <w:p w14:paraId="6EDA1538" w14:textId="77777777" w:rsidR="0009522D" w:rsidRDefault="0009522D" w:rsidP="007E0161">
      <w:r>
        <w:continuationSeparator/>
      </w:r>
    </w:p>
  </w:footnote>
  <w:footnote w:type="continuationNotice" w:id="1">
    <w:p w14:paraId="4FDA52E3" w14:textId="77777777" w:rsidR="0009522D" w:rsidRDefault="00095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D81F" w14:textId="77777777" w:rsidR="00F97054" w:rsidRDefault="00F970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2AF1" w14:textId="64E5E8AD" w:rsidR="00E10C27" w:rsidRDefault="00F97054">
    <w:pPr>
      <w:pStyle w:val="Encabezado"/>
    </w:pPr>
    <w:r>
      <w:rPr>
        <w:noProof/>
      </w:rPr>
      <w:drawing>
        <wp:inline distT="0" distB="0" distL="0" distR="0" wp14:anchorId="631C222B" wp14:editId="59D6CCBF">
          <wp:extent cx="5971540" cy="853440"/>
          <wp:effectExtent l="0" t="0" r="0" b="9525"/>
          <wp:docPr id="395505588"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05588" name="Imagen 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8784" t="3586" b="86430"/>
                  <a:stretch/>
                </pic:blipFill>
                <pic:spPr bwMode="auto">
                  <a:xfrm>
                    <a:off x="0" y="0"/>
                    <a:ext cx="5971540" cy="85344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D22B" w14:textId="77777777" w:rsidR="00F97054" w:rsidRDefault="00F970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7B884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33069"/>
    <w:multiLevelType w:val="hybridMultilevel"/>
    <w:tmpl w:val="E70428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2B223F5"/>
    <w:multiLevelType w:val="hybridMultilevel"/>
    <w:tmpl w:val="6008720C"/>
    <w:lvl w:ilvl="0" w:tplc="080A000B">
      <w:start w:val="1"/>
      <w:numFmt w:val="bullet"/>
      <w:lvlText w:val=""/>
      <w:lvlJc w:val="left"/>
      <w:pPr>
        <w:ind w:left="436" w:hanging="360"/>
      </w:pPr>
      <w:rPr>
        <w:rFonts w:ascii="Wingdings" w:hAnsi="Wingdings"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 w15:restartNumberingAfterBreak="0">
    <w:nsid w:val="055C3DE9"/>
    <w:multiLevelType w:val="hybridMultilevel"/>
    <w:tmpl w:val="A498C9C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EF74AF"/>
    <w:multiLevelType w:val="hybridMultilevel"/>
    <w:tmpl w:val="70001632"/>
    <w:lvl w:ilvl="0" w:tplc="5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D12938"/>
    <w:multiLevelType w:val="hybridMultilevel"/>
    <w:tmpl w:val="1AEC38F2"/>
    <w:lvl w:ilvl="0" w:tplc="5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B93CC7"/>
    <w:multiLevelType w:val="hybridMultilevel"/>
    <w:tmpl w:val="46D6F506"/>
    <w:lvl w:ilvl="0" w:tplc="B31851FC">
      <w:start w:val="1"/>
      <w:numFmt w:val="upperRoman"/>
      <w:lvlText w:val="%1."/>
      <w:lvlJc w:val="left"/>
      <w:pPr>
        <w:ind w:left="1425" w:hanging="360"/>
      </w:pPr>
      <w:rPr>
        <w:b/>
        <w:bCs/>
      </w:rPr>
    </w:lvl>
    <w:lvl w:ilvl="1" w:tplc="080A0019">
      <w:start w:val="1"/>
      <w:numFmt w:val="lowerLetter"/>
      <w:lvlText w:val="%2."/>
      <w:lvlJc w:val="left"/>
      <w:pPr>
        <w:ind w:left="2145" w:hanging="360"/>
      </w:pPr>
    </w:lvl>
    <w:lvl w:ilvl="2" w:tplc="080A001B">
      <w:start w:val="1"/>
      <w:numFmt w:val="lowerRoman"/>
      <w:lvlText w:val="%3."/>
      <w:lvlJc w:val="right"/>
      <w:pPr>
        <w:ind w:left="2865" w:hanging="180"/>
      </w:pPr>
    </w:lvl>
    <w:lvl w:ilvl="3" w:tplc="080A000F">
      <w:start w:val="1"/>
      <w:numFmt w:val="decimal"/>
      <w:lvlText w:val="%4."/>
      <w:lvlJc w:val="left"/>
      <w:pPr>
        <w:ind w:left="3585" w:hanging="360"/>
      </w:pPr>
    </w:lvl>
    <w:lvl w:ilvl="4" w:tplc="080A0019">
      <w:start w:val="1"/>
      <w:numFmt w:val="lowerLetter"/>
      <w:lvlText w:val="%5."/>
      <w:lvlJc w:val="left"/>
      <w:pPr>
        <w:ind w:left="4305" w:hanging="360"/>
      </w:pPr>
    </w:lvl>
    <w:lvl w:ilvl="5" w:tplc="080A001B">
      <w:start w:val="1"/>
      <w:numFmt w:val="lowerRoman"/>
      <w:lvlText w:val="%6."/>
      <w:lvlJc w:val="right"/>
      <w:pPr>
        <w:ind w:left="5025" w:hanging="180"/>
      </w:pPr>
    </w:lvl>
    <w:lvl w:ilvl="6" w:tplc="080A000F">
      <w:start w:val="1"/>
      <w:numFmt w:val="decimal"/>
      <w:lvlText w:val="%7."/>
      <w:lvlJc w:val="left"/>
      <w:pPr>
        <w:ind w:left="5745" w:hanging="360"/>
      </w:pPr>
    </w:lvl>
    <w:lvl w:ilvl="7" w:tplc="080A0019">
      <w:start w:val="1"/>
      <w:numFmt w:val="lowerLetter"/>
      <w:lvlText w:val="%8."/>
      <w:lvlJc w:val="left"/>
      <w:pPr>
        <w:ind w:left="6465" w:hanging="360"/>
      </w:pPr>
    </w:lvl>
    <w:lvl w:ilvl="8" w:tplc="080A001B">
      <w:start w:val="1"/>
      <w:numFmt w:val="lowerRoman"/>
      <w:lvlText w:val="%9."/>
      <w:lvlJc w:val="right"/>
      <w:pPr>
        <w:ind w:left="7185" w:hanging="180"/>
      </w:pPr>
    </w:lvl>
  </w:abstractNum>
  <w:abstractNum w:abstractNumId="7" w15:restartNumberingAfterBreak="0">
    <w:nsid w:val="2EB05D67"/>
    <w:multiLevelType w:val="hybridMultilevel"/>
    <w:tmpl w:val="202C99B8"/>
    <w:lvl w:ilvl="0" w:tplc="5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D1B6397"/>
    <w:multiLevelType w:val="hybridMultilevel"/>
    <w:tmpl w:val="656A2A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E4455E"/>
    <w:multiLevelType w:val="hybridMultilevel"/>
    <w:tmpl w:val="E6C0F9C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9FC0013"/>
    <w:multiLevelType w:val="hybridMultilevel"/>
    <w:tmpl w:val="8B50EDBC"/>
    <w:lvl w:ilvl="0" w:tplc="5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332320"/>
    <w:multiLevelType w:val="hybridMultilevel"/>
    <w:tmpl w:val="75BE905C"/>
    <w:lvl w:ilvl="0" w:tplc="5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F05AD5"/>
    <w:multiLevelType w:val="hybridMultilevel"/>
    <w:tmpl w:val="11FA10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25704D"/>
    <w:multiLevelType w:val="hybridMultilevel"/>
    <w:tmpl w:val="0CAED1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1C4BA6"/>
    <w:multiLevelType w:val="hybridMultilevel"/>
    <w:tmpl w:val="BC826486"/>
    <w:lvl w:ilvl="0" w:tplc="20F47FC6">
      <w:start w:val="1"/>
      <w:numFmt w:val="upperRoman"/>
      <w:lvlText w:val="%1."/>
      <w:lvlJc w:val="left"/>
      <w:pPr>
        <w:ind w:left="720" w:hanging="360"/>
      </w:pPr>
      <w:rPr>
        <w:rFonts w:ascii="Montserrat" w:hAnsi="Montserrat" w:cs="Montserrat" w:hint="default"/>
        <w:b/>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DDB7C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49A3364"/>
    <w:multiLevelType w:val="hybridMultilevel"/>
    <w:tmpl w:val="16CC0A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A80FA1"/>
    <w:multiLevelType w:val="hybridMultilevel"/>
    <w:tmpl w:val="AE489040"/>
    <w:lvl w:ilvl="0" w:tplc="BA6C5AC0">
      <w:start w:val="6"/>
      <w:numFmt w:val="decimal"/>
      <w:lvlText w:val="%1."/>
      <w:lvlJc w:val="left"/>
      <w:pPr>
        <w:ind w:left="1353"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F80A37"/>
    <w:multiLevelType w:val="hybridMultilevel"/>
    <w:tmpl w:val="D6DC5020"/>
    <w:lvl w:ilvl="0" w:tplc="247AE1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70575B4"/>
    <w:multiLevelType w:val="multilevel"/>
    <w:tmpl w:val="399A260E"/>
    <w:lvl w:ilvl="0">
      <w:start w:val="1"/>
      <w:numFmt w:val="upperRoman"/>
      <w:lvlText w:val="%1."/>
      <w:lvlJc w:val="right"/>
      <w:pPr>
        <w:tabs>
          <w:tab w:val="num" w:pos="1460"/>
        </w:tabs>
        <w:ind w:left="1460" w:hanging="360"/>
      </w:pPr>
      <w:rPr>
        <w:b/>
        <w:bCs/>
      </w:rPr>
    </w:lvl>
    <w:lvl w:ilvl="1" w:tentative="1">
      <w:start w:val="1"/>
      <w:numFmt w:val="upperRoman"/>
      <w:lvlText w:val="%2."/>
      <w:lvlJc w:val="right"/>
      <w:pPr>
        <w:tabs>
          <w:tab w:val="num" w:pos="2180"/>
        </w:tabs>
        <w:ind w:left="2180" w:hanging="360"/>
      </w:pPr>
    </w:lvl>
    <w:lvl w:ilvl="2" w:tentative="1">
      <w:start w:val="1"/>
      <w:numFmt w:val="upperRoman"/>
      <w:lvlText w:val="%3."/>
      <w:lvlJc w:val="right"/>
      <w:pPr>
        <w:tabs>
          <w:tab w:val="num" w:pos="2900"/>
        </w:tabs>
        <w:ind w:left="2900" w:hanging="360"/>
      </w:pPr>
    </w:lvl>
    <w:lvl w:ilvl="3" w:tentative="1">
      <w:start w:val="1"/>
      <w:numFmt w:val="upperRoman"/>
      <w:lvlText w:val="%4."/>
      <w:lvlJc w:val="right"/>
      <w:pPr>
        <w:tabs>
          <w:tab w:val="num" w:pos="3620"/>
        </w:tabs>
        <w:ind w:left="3620" w:hanging="360"/>
      </w:pPr>
    </w:lvl>
    <w:lvl w:ilvl="4" w:tentative="1">
      <w:start w:val="1"/>
      <w:numFmt w:val="upperRoman"/>
      <w:lvlText w:val="%5."/>
      <w:lvlJc w:val="right"/>
      <w:pPr>
        <w:tabs>
          <w:tab w:val="num" w:pos="4340"/>
        </w:tabs>
        <w:ind w:left="4340" w:hanging="360"/>
      </w:pPr>
    </w:lvl>
    <w:lvl w:ilvl="5" w:tentative="1">
      <w:start w:val="1"/>
      <w:numFmt w:val="upperRoman"/>
      <w:lvlText w:val="%6."/>
      <w:lvlJc w:val="right"/>
      <w:pPr>
        <w:tabs>
          <w:tab w:val="num" w:pos="5060"/>
        </w:tabs>
        <w:ind w:left="5060" w:hanging="360"/>
      </w:pPr>
    </w:lvl>
    <w:lvl w:ilvl="6" w:tentative="1">
      <w:start w:val="1"/>
      <w:numFmt w:val="upperRoman"/>
      <w:lvlText w:val="%7."/>
      <w:lvlJc w:val="right"/>
      <w:pPr>
        <w:tabs>
          <w:tab w:val="num" w:pos="5780"/>
        </w:tabs>
        <w:ind w:left="5780" w:hanging="360"/>
      </w:pPr>
    </w:lvl>
    <w:lvl w:ilvl="7" w:tentative="1">
      <w:start w:val="1"/>
      <w:numFmt w:val="upperRoman"/>
      <w:lvlText w:val="%8."/>
      <w:lvlJc w:val="right"/>
      <w:pPr>
        <w:tabs>
          <w:tab w:val="num" w:pos="6500"/>
        </w:tabs>
        <w:ind w:left="6500" w:hanging="360"/>
      </w:pPr>
    </w:lvl>
    <w:lvl w:ilvl="8" w:tentative="1">
      <w:start w:val="1"/>
      <w:numFmt w:val="upperRoman"/>
      <w:lvlText w:val="%9."/>
      <w:lvlJc w:val="right"/>
      <w:pPr>
        <w:tabs>
          <w:tab w:val="num" w:pos="7220"/>
        </w:tabs>
        <w:ind w:left="7220" w:hanging="360"/>
      </w:pPr>
    </w:lvl>
  </w:abstractNum>
  <w:abstractNum w:abstractNumId="20" w15:restartNumberingAfterBreak="0">
    <w:nsid w:val="677A6D6A"/>
    <w:multiLevelType w:val="hybridMultilevel"/>
    <w:tmpl w:val="65307876"/>
    <w:lvl w:ilvl="0" w:tplc="B9FCB292">
      <w:start w:val="1"/>
      <w:numFmt w:val="decimal"/>
      <w:lvlText w:val="%1."/>
      <w:lvlJc w:val="left"/>
      <w:pPr>
        <w:ind w:left="1353" w:hanging="360"/>
      </w:pPr>
      <w:rPr>
        <w:b/>
        <w:bCs/>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6ABC7297"/>
    <w:multiLevelType w:val="hybridMultilevel"/>
    <w:tmpl w:val="A3DCD426"/>
    <w:lvl w:ilvl="0" w:tplc="85DCD24E">
      <w:start w:val="4"/>
      <w:numFmt w:val="lowerLetter"/>
      <w:lvlText w:val="%1)"/>
      <w:lvlJc w:val="left"/>
      <w:pPr>
        <w:ind w:left="1068"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2" w15:restartNumberingAfterBreak="0">
    <w:nsid w:val="6C8E5B56"/>
    <w:multiLevelType w:val="hybridMultilevel"/>
    <w:tmpl w:val="ED9AB26C"/>
    <w:lvl w:ilvl="0" w:tplc="44E67A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E72AE6"/>
    <w:multiLevelType w:val="hybridMultilevel"/>
    <w:tmpl w:val="F642D1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D95A8E"/>
    <w:multiLevelType w:val="hybridMultilevel"/>
    <w:tmpl w:val="0BA86C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5378656">
    <w:abstractNumId w:val="3"/>
  </w:num>
  <w:num w:numId="2" w16cid:durableId="1070008072">
    <w:abstractNumId w:val="23"/>
  </w:num>
  <w:num w:numId="3" w16cid:durableId="1792868566">
    <w:abstractNumId w:val="8"/>
  </w:num>
  <w:num w:numId="4" w16cid:durableId="1820075197">
    <w:abstractNumId w:val="14"/>
  </w:num>
  <w:num w:numId="5" w16cid:durableId="1388652367">
    <w:abstractNumId w:val="12"/>
  </w:num>
  <w:num w:numId="6" w16cid:durableId="203831860">
    <w:abstractNumId w:val="9"/>
  </w:num>
  <w:num w:numId="7" w16cid:durableId="762260431">
    <w:abstractNumId w:val="13"/>
  </w:num>
  <w:num w:numId="8" w16cid:durableId="652685308">
    <w:abstractNumId w:val="2"/>
  </w:num>
  <w:num w:numId="9" w16cid:durableId="1567955596">
    <w:abstractNumId w:val="18"/>
  </w:num>
  <w:num w:numId="10" w16cid:durableId="310864636">
    <w:abstractNumId w:val="16"/>
  </w:num>
  <w:num w:numId="11" w16cid:durableId="2065982360">
    <w:abstractNumId w:val="24"/>
  </w:num>
  <w:num w:numId="12" w16cid:durableId="1493790500">
    <w:abstractNumId w:val="4"/>
  </w:num>
  <w:num w:numId="13" w16cid:durableId="638340719">
    <w:abstractNumId w:val="7"/>
  </w:num>
  <w:num w:numId="14" w16cid:durableId="52001730">
    <w:abstractNumId w:val="5"/>
  </w:num>
  <w:num w:numId="15" w16cid:durableId="420570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9807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7525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3218943">
    <w:abstractNumId w:val="1"/>
  </w:num>
  <w:num w:numId="19" w16cid:durableId="2083290782">
    <w:abstractNumId w:val="20"/>
  </w:num>
  <w:num w:numId="20" w16cid:durableId="1728331789">
    <w:abstractNumId w:val="17"/>
  </w:num>
  <w:num w:numId="21" w16cid:durableId="2093508463">
    <w:abstractNumId w:val="11"/>
  </w:num>
  <w:num w:numId="22" w16cid:durableId="1524511596">
    <w:abstractNumId w:val="21"/>
  </w:num>
  <w:num w:numId="23" w16cid:durableId="276723724">
    <w:abstractNumId w:val="0"/>
  </w:num>
  <w:num w:numId="24" w16cid:durableId="1078866906">
    <w:abstractNumId w:val="15"/>
  </w:num>
  <w:num w:numId="25" w16cid:durableId="1199582123">
    <w:abstractNumId w:val="22"/>
  </w:num>
  <w:num w:numId="26" w16cid:durableId="5564016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3056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61"/>
    <w:rsid w:val="0000127F"/>
    <w:rsid w:val="000021F5"/>
    <w:rsid w:val="00006B0D"/>
    <w:rsid w:val="00006EC3"/>
    <w:rsid w:val="00033143"/>
    <w:rsid w:val="0004145E"/>
    <w:rsid w:val="00044150"/>
    <w:rsid w:val="000450D2"/>
    <w:rsid w:val="00045946"/>
    <w:rsid w:val="00045D2B"/>
    <w:rsid w:val="00045E44"/>
    <w:rsid w:val="000549C1"/>
    <w:rsid w:val="0006103D"/>
    <w:rsid w:val="0006296F"/>
    <w:rsid w:val="000707D7"/>
    <w:rsid w:val="00075D13"/>
    <w:rsid w:val="0008454A"/>
    <w:rsid w:val="00084924"/>
    <w:rsid w:val="00092694"/>
    <w:rsid w:val="00093A25"/>
    <w:rsid w:val="0009522D"/>
    <w:rsid w:val="00095D4A"/>
    <w:rsid w:val="00096F66"/>
    <w:rsid w:val="000A1C34"/>
    <w:rsid w:val="000A7725"/>
    <w:rsid w:val="000C180D"/>
    <w:rsid w:val="000C389A"/>
    <w:rsid w:val="000C50A1"/>
    <w:rsid w:val="000D06BD"/>
    <w:rsid w:val="000D4868"/>
    <w:rsid w:val="000D4879"/>
    <w:rsid w:val="000F337E"/>
    <w:rsid w:val="000F7513"/>
    <w:rsid w:val="001101AB"/>
    <w:rsid w:val="00121840"/>
    <w:rsid w:val="00121B2F"/>
    <w:rsid w:val="00123799"/>
    <w:rsid w:val="001244E2"/>
    <w:rsid w:val="001334E9"/>
    <w:rsid w:val="00137B47"/>
    <w:rsid w:val="001439B8"/>
    <w:rsid w:val="00144D1C"/>
    <w:rsid w:val="001469E5"/>
    <w:rsid w:val="00152BF9"/>
    <w:rsid w:val="00152C67"/>
    <w:rsid w:val="001545B7"/>
    <w:rsid w:val="00161A7C"/>
    <w:rsid w:val="00162D44"/>
    <w:rsid w:val="0016416C"/>
    <w:rsid w:val="0017012F"/>
    <w:rsid w:val="001765BD"/>
    <w:rsid w:val="00184825"/>
    <w:rsid w:val="00185776"/>
    <w:rsid w:val="0019092C"/>
    <w:rsid w:val="00197B97"/>
    <w:rsid w:val="001A5581"/>
    <w:rsid w:val="001A63B3"/>
    <w:rsid w:val="001B0171"/>
    <w:rsid w:val="001B164C"/>
    <w:rsid w:val="001B2C9E"/>
    <w:rsid w:val="001B3BB4"/>
    <w:rsid w:val="001B6A6C"/>
    <w:rsid w:val="001D2745"/>
    <w:rsid w:val="001E3D75"/>
    <w:rsid w:val="001F324B"/>
    <w:rsid w:val="00200736"/>
    <w:rsid w:val="002075E5"/>
    <w:rsid w:val="00212E5D"/>
    <w:rsid w:val="00222D8B"/>
    <w:rsid w:val="002267AE"/>
    <w:rsid w:val="00234606"/>
    <w:rsid w:val="002349AE"/>
    <w:rsid w:val="00235018"/>
    <w:rsid w:val="00236A14"/>
    <w:rsid w:val="00247773"/>
    <w:rsid w:val="00252329"/>
    <w:rsid w:val="00254E0B"/>
    <w:rsid w:val="00263257"/>
    <w:rsid w:val="0026365B"/>
    <w:rsid w:val="0026487A"/>
    <w:rsid w:val="00267783"/>
    <w:rsid w:val="002710CB"/>
    <w:rsid w:val="002737AC"/>
    <w:rsid w:val="00273FC5"/>
    <w:rsid w:val="0027619D"/>
    <w:rsid w:val="002800F1"/>
    <w:rsid w:val="00280A0A"/>
    <w:rsid w:val="00282476"/>
    <w:rsid w:val="00293A90"/>
    <w:rsid w:val="00296BC1"/>
    <w:rsid w:val="002A2D6B"/>
    <w:rsid w:val="002A3D1C"/>
    <w:rsid w:val="002A5C9D"/>
    <w:rsid w:val="002A7A7F"/>
    <w:rsid w:val="002B5F64"/>
    <w:rsid w:val="002B7C59"/>
    <w:rsid w:val="002C04EF"/>
    <w:rsid w:val="002C2CCD"/>
    <w:rsid w:val="002D63EF"/>
    <w:rsid w:val="002D7ACC"/>
    <w:rsid w:val="002E0163"/>
    <w:rsid w:val="00302222"/>
    <w:rsid w:val="00316FE4"/>
    <w:rsid w:val="0032128F"/>
    <w:rsid w:val="003323A4"/>
    <w:rsid w:val="0033377D"/>
    <w:rsid w:val="003354EF"/>
    <w:rsid w:val="00345987"/>
    <w:rsid w:val="00345AAD"/>
    <w:rsid w:val="0034792E"/>
    <w:rsid w:val="00350296"/>
    <w:rsid w:val="003665EC"/>
    <w:rsid w:val="00374910"/>
    <w:rsid w:val="00375FA7"/>
    <w:rsid w:val="003911FF"/>
    <w:rsid w:val="003A1DB1"/>
    <w:rsid w:val="003B07C3"/>
    <w:rsid w:val="003C0B80"/>
    <w:rsid w:val="003C1968"/>
    <w:rsid w:val="003C266C"/>
    <w:rsid w:val="003D0BC0"/>
    <w:rsid w:val="00400467"/>
    <w:rsid w:val="00404E53"/>
    <w:rsid w:val="00410A5F"/>
    <w:rsid w:val="00412A74"/>
    <w:rsid w:val="004163CE"/>
    <w:rsid w:val="00421826"/>
    <w:rsid w:val="00433182"/>
    <w:rsid w:val="0043681D"/>
    <w:rsid w:val="00443D95"/>
    <w:rsid w:val="00444A70"/>
    <w:rsid w:val="0044670D"/>
    <w:rsid w:val="004744A6"/>
    <w:rsid w:val="004766BB"/>
    <w:rsid w:val="00476DFB"/>
    <w:rsid w:val="00477F7B"/>
    <w:rsid w:val="0048403A"/>
    <w:rsid w:val="0048527E"/>
    <w:rsid w:val="00486B2E"/>
    <w:rsid w:val="004874A0"/>
    <w:rsid w:val="00487779"/>
    <w:rsid w:val="00492C21"/>
    <w:rsid w:val="00493AC2"/>
    <w:rsid w:val="004951DE"/>
    <w:rsid w:val="00496F7A"/>
    <w:rsid w:val="004A351A"/>
    <w:rsid w:val="004A637F"/>
    <w:rsid w:val="004B192C"/>
    <w:rsid w:val="004B488D"/>
    <w:rsid w:val="004C122E"/>
    <w:rsid w:val="004D0A58"/>
    <w:rsid w:val="004D5BED"/>
    <w:rsid w:val="004D6C14"/>
    <w:rsid w:val="004E0C57"/>
    <w:rsid w:val="004E1B1A"/>
    <w:rsid w:val="004F3148"/>
    <w:rsid w:val="004F36FA"/>
    <w:rsid w:val="0050091F"/>
    <w:rsid w:val="00526884"/>
    <w:rsid w:val="00526892"/>
    <w:rsid w:val="00541637"/>
    <w:rsid w:val="0054281D"/>
    <w:rsid w:val="00545A27"/>
    <w:rsid w:val="00576A82"/>
    <w:rsid w:val="00581B16"/>
    <w:rsid w:val="00583238"/>
    <w:rsid w:val="005859C7"/>
    <w:rsid w:val="00585CEE"/>
    <w:rsid w:val="005962D1"/>
    <w:rsid w:val="00596966"/>
    <w:rsid w:val="005A125D"/>
    <w:rsid w:val="005A69D4"/>
    <w:rsid w:val="005B21C8"/>
    <w:rsid w:val="005B3811"/>
    <w:rsid w:val="005B7C06"/>
    <w:rsid w:val="005C0266"/>
    <w:rsid w:val="005C2C05"/>
    <w:rsid w:val="005F3976"/>
    <w:rsid w:val="0060229E"/>
    <w:rsid w:val="0060647E"/>
    <w:rsid w:val="006071F3"/>
    <w:rsid w:val="00607A0F"/>
    <w:rsid w:val="00611501"/>
    <w:rsid w:val="006126CF"/>
    <w:rsid w:val="00613B2F"/>
    <w:rsid w:val="0062027C"/>
    <w:rsid w:val="00624F45"/>
    <w:rsid w:val="0063483A"/>
    <w:rsid w:val="00635870"/>
    <w:rsid w:val="00641A9D"/>
    <w:rsid w:val="00641D30"/>
    <w:rsid w:val="00643AE2"/>
    <w:rsid w:val="0065228D"/>
    <w:rsid w:val="00656428"/>
    <w:rsid w:val="006618E2"/>
    <w:rsid w:val="00661FD8"/>
    <w:rsid w:val="00675F7D"/>
    <w:rsid w:val="00684115"/>
    <w:rsid w:val="00684461"/>
    <w:rsid w:val="00691204"/>
    <w:rsid w:val="00695AF0"/>
    <w:rsid w:val="006965AF"/>
    <w:rsid w:val="006A1385"/>
    <w:rsid w:val="006A23E1"/>
    <w:rsid w:val="006A34EA"/>
    <w:rsid w:val="006A663D"/>
    <w:rsid w:val="006B1A97"/>
    <w:rsid w:val="006B4ED1"/>
    <w:rsid w:val="006C0A10"/>
    <w:rsid w:val="006C246B"/>
    <w:rsid w:val="006D30F1"/>
    <w:rsid w:val="006D3B8C"/>
    <w:rsid w:val="006E1160"/>
    <w:rsid w:val="006F4506"/>
    <w:rsid w:val="007022F0"/>
    <w:rsid w:val="00702C3F"/>
    <w:rsid w:val="00707989"/>
    <w:rsid w:val="00714A2B"/>
    <w:rsid w:val="00716A7E"/>
    <w:rsid w:val="0072691E"/>
    <w:rsid w:val="00730717"/>
    <w:rsid w:val="00730AC2"/>
    <w:rsid w:val="00737BE6"/>
    <w:rsid w:val="00743A24"/>
    <w:rsid w:val="00746E97"/>
    <w:rsid w:val="007568BA"/>
    <w:rsid w:val="00756DF4"/>
    <w:rsid w:val="00760897"/>
    <w:rsid w:val="00764D07"/>
    <w:rsid w:val="0077053C"/>
    <w:rsid w:val="00773727"/>
    <w:rsid w:val="007738A8"/>
    <w:rsid w:val="007739B7"/>
    <w:rsid w:val="00775A77"/>
    <w:rsid w:val="007771C2"/>
    <w:rsid w:val="00781082"/>
    <w:rsid w:val="0078250D"/>
    <w:rsid w:val="007829B5"/>
    <w:rsid w:val="00782BC8"/>
    <w:rsid w:val="007844A7"/>
    <w:rsid w:val="00785AEC"/>
    <w:rsid w:val="007864FA"/>
    <w:rsid w:val="00795C79"/>
    <w:rsid w:val="007972FB"/>
    <w:rsid w:val="007A3A64"/>
    <w:rsid w:val="007A7029"/>
    <w:rsid w:val="007B03E3"/>
    <w:rsid w:val="007C5746"/>
    <w:rsid w:val="007C7360"/>
    <w:rsid w:val="007D0669"/>
    <w:rsid w:val="007D4477"/>
    <w:rsid w:val="007D64EE"/>
    <w:rsid w:val="007D7520"/>
    <w:rsid w:val="007E0161"/>
    <w:rsid w:val="007E0319"/>
    <w:rsid w:val="007E4D28"/>
    <w:rsid w:val="007F057C"/>
    <w:rsid w:val="007F4CA3"/>
    <w:rsid w:val="007F5A42"/>
    <w:rsid w:val="007F6000"/>
    <w:rsid w:val="007F6B19"/>
    <w:rsid w:val="00801D48"/>
    <w:rsid w:val="0080422C"/>
    <w:rsid w:val="0081127C"/>
    <w:rsid w:val="00812025"/>
    <w:rsid w:val="00813E50"/>
    <w:rsid w:val="008200DF"/>
    <w:rsid w:val="008269F8"/>
    <w:rsid w:val="0083087B"/>
    <w:rsid w:val="00832518"/>
    <w:rsid w:val="00840304"/>
    <w:rsid w:val="008448BD"/>
    <w:rsid w:val="0085049B"/>
    <w:rsid w:val="00851362"/>
    <w:rsid w:val="00860114"/>
    <w:rsid w:val="00866C77"/>
    <w:rsid w:val="0086749B"/>
    <w:rsid w:val="0087050E"/>
    <w:rsid w:val="00871EF4"/>
    <w:rsid w:val="0087648E"/>
    <w:rsid w:val="00880C1D"/>
    <w:rsid w:val="008813D7"/>
    <w:rsid w:val="00886918"/>
    <w:rsid w:val="00887D34"/>
    <w:rsid w:val="008A7FB0"/>
    <w:rsid w:val="008B1187"/>
    <w:rsid w:val="008B15D5"/>
    <w:rsid w:val="008B6DB5"/>
    <w:rsid w:val="008C686F"/>
    <w:rsid w:val="008D0785"/>
    <w:rsid w:val="008D34D7"/>
    <w:rsid w:val="008D4537"/>
    <w:rsid w:val="008D5ED9"/>
    <w:rsid w:val="008D62F3"/>
    <w:rsid w:val="008F68E2"/>
    <w:rsid w:val="00903216"/>
    <w:rsid w:val="00907363"/>
    <w:rsid w:val="00913616"/>
    <w:rsid w:val="0092508E"/>
    <w:rsid w:val="0092691F"/>
    <w:rsid w:val="009434F6"/>
    <w:rsid w:val="00944628"/>
    <w:rsid w:val="00947D5C"/>
    <w:rsid w:val="00955D64"/>
    <w:rsid w:val="00957727"/>
    <w:rsid w:val="0096728B"/>
    <w:rsid w:val="009751F4"/>
    <w:rsid w:val="009836B7"/>
    <w:rsid w:val="00986F14"/>
    <w:rsid w:val="00992196"/>
    <w:rsid w:val="009930A9"/>
    <w:rsid w:val="009A3A7F"/>
    <w:rsid w:val="009A584F"/>
    <w:rsid w:val="009A5E93"/>
    <w:rsid w:val="009A6FFD"/>
    <w:rsid w:val="009B032C"/>
    <w:rsid w:val="009B0D83"/>
    <w:rsid w:val="009B1A20"/>
    <w:rsid w:val="009B2522"/>
    <w:rsid w:val="009B6F8E"/>
    <w:rsid w:val="009B7CF9"/>
    <w:rsid w:val="009C3C00"/>
    <w:rsid w:val="009C713D"/>
    <w:rsid w:val="009E36FB"/>
    <w:rsid w:val="009F219B"/>
    <w:rsid w:val="009F4C0F"/>
    <w:rsid w:val="00A011AA"/>
    <w:rsid w:val="00A02604"/>
    <w:rsid w:val="00A067A4"/>
    <w:rsid w:val="00A07F43"/>
    <w:rsid w:val="00A13DB9"/>
    <w:rsid w:val="00A41F8E"/>
    <w:rsid w:val="00A47242"/>
    <w:rsid w:val="00A503B3"/>
    <w:rsid w:val="00A55068"/>
    <w:rsid w:val="00A65E1E"/>
    <w:rsid w:val="00A70870"/>
    <w:rsid w:val="00A956BE"/>
    <w:rsid w:val="00AA54D7"/>
    <w:rsid w:val="00AB023F"/>
    <w:rsid w:val="00AB4B2B"/>
    <w:rsid w:val="00AB4EE0"/>
    <w:rsid w:val="00AB527B"/>
    <w:rsid w:val="00AC62A3"/>
    <w:rsid w:val="00AE09F8"/>
    <w:rsid w:val="00AE1141"/>
    <w:rsid w:val="00AE6D16"/>
    <w:rsid w:val="00AE7EF0"/>
    <w:rsid w:val="00AF1FF7"/>
    <w:rsid w:val="00AF2611"/>
    <w:rsid w:val="00AF3743"/>
    <w:rsid w:val="00B0075A"/>
    <w:rsid w:val="00B03BAE"/>
    <w:rsid w:val="00B24ACC"/>
    <w:rsid w:val="00B27232"/>
    <w:rsid w:val="00B339B5"/>
    <w:rsid w:val="00B37A41"/>
    <w:rsid w:val="00B504C5"/>
    <w:rsid w:val="00B537F9"/>
    <w:rsid w:val="00B60124"/>
    <w:rsid w:val="00B65534"/>
    <w:rsid w:val="00B67E53"/>
    <w:rsid w:val="00B731A2"/>
    <w:rsid w:val="00B77EB3"/>
    <w:rsid w:val="00B81F3C"/>
    <w:rsid w:val="00B96F3D"/>
    <w:rsid w:val="00BA5A27"/>
    <w:rsid w:val="00BA6641"/>
    <w:rsid w:val="00BB16AE"/>
    <w:rsid w:val="00BB5A90"/>
    <w:rsid w:val="00BB6689"/>
    <w:rsid w:val="00BC1D15"/>
    <w:rsid w:val="00BD4071"/>
    <w:rsid w:val="00BE27A0"/>
    <w:rsid w:val="00BE5FDD"/>
    <w:rsid w:val="00BF609A"/>
    <w:rsid w:val="00BF7C9E"/>
    <w:rsid w:val="00C0337E"/>
    <w:rsid w:val="00C03A6A"/>
    <w:rsid w:val="00C07273"/>
    <w:rsid w:val="00C1004A"/>
    <w:rsid w:val="00C10118"/>
    <w:rsid w:val="00C112A0"/>
    <w:rsid w:val="00C13CC2"/>
    <w:rsid w:val="00C16603"/>
    <w:rsid w:val="00C2160A"/>
    <w:rsid w:val="00C21DCA"/>
    <w:rsid w:val="00C2271A"/>
    <w:rsid w:val="00C2707C"/>
    <w:rsid w:val="00C32C2F"/>
    <w:rsid w:val="00C4676D"/>
    <w:rsid w:val="00C467B0"/>
    <w:rsid w:val="00C46F75"/>
    <w:rsid w:val="00C55C9F"/>
    <w:rsid w:val="00C61E09"/>
    <w:rsid w:val="00C639E8"/>
    <w:rsid w:val="00C65321"/>
    <w:rsid w:val="00C67818"/>
    <w:rsid w:val="00C701CE"/>
    <w:rsid w:val="00C71DDA"/>
    <w:rsid w:val="00C73063"/>
    <w:rsid w:val="00C73570"/>
    <w:rsid w:val="00C74B3C"/>
    <w:rsid w:val="00C76CEA"/>
    <w:rsid w:val="00C8124B"/>
    <w:rsid w:val="00C86394"/>
    <w:rsid w:val="00C8749B"/>
    <w:rsid w:val="00C910A6"/>
    <w:rsid w:val="00CA3A72"/>
    <w:rsid w:val="00CA4DFF"/>
    <w:rsid w:val="00CB0067"/>
    <w:rsid w:val="00CB5D0A"/>
    <w:rsid w:val="00CC0D45"/>
    <w:rsid w:val="00CC4E97"/>
    <w:rsid w:val="00CD6671"/>
    <w:rsid w:val="00CD7911"/>
    <w:rsid w:val="00CE5729"/>
    <w:rsid w:val="00CF7FE1"/>
    <w:rsid w:val="00D00199"/>
    <w:rsid w:val="00D009D4"/>
    <w:rsid w:val="00D21F37"/>
    <w:rsid w:val="00D40FAD"/>
    <w:rsid w:val="00D411A3"/>
    <w:rsid w:val="00D44A5A"/>
    <w:rsid w:val="00D5298C"/>
    <w:rsid w:val="00D5744E"/>
    <w:rsid w:val="00D75C14"/>
    <w:rsid w:val="00D77CC6"/>
    <w:rsid w:val="00D802E7"/>
    <w:rsid w:val="00D8063E"/>
    <w:rsid w:val="00D87B6D"/>
    <w:rsid w:val="00DA0BA3"/>
    <w:rsid w:val="00DA33E1"/>
    <w:rsid w:val="00DA3743"/>
    <w:rsid w:val="00DA3AE5"/>
    <w:rsid w:val="00DC08BD"/>
    <w:rsid w:val="00DC19D5"/>
    <w:rsid w:val="00DC209A"/>
    <w:rsid w:val="00DD1C0C"/>
    <w:rsid w:val="00DD3E9A"/>
    <w:rsid w:val="00DD59E6"/>
    <w:rsid w:val="00DE3226"/>
    <w:rsid w:val="00DE3B3A"/>
    <w:rsid w:val="00DE43A2"/>
    <w:rsid w:val="00DE557B"/>
    <w:rsid w:val="00DF7BE1"/>
    <w:rsid w:val="00DF7F8C"/>
    <w:rsid w:val="00E01A18"/>
    <w:rsid w:val="00E10C27"/>
    <w:rsid w:val="00E177FF"/>
    <w:rsid w:val="00E27F5F"/>
    <w:rsid w:val="00E3148C"/>
    <w:rsid w:val="00E34A0A"/>
    <w:rsid w:val="00E34F20"/>
    <w:rsid w:val="00E34F23"/>
    <w:rsid w:val="00E40854"/>
    <w:rsid w:val="00E4089B"/>
    <w:rsid w:val="00E45375"/>
    <w:rsid w:val="00E60111"/>
    <w:rsid w:val="00E64051"/>
    <w:rsid w:val="00E65BF2"/>
    <w:rsid w:val="00E65FB7"/>
    <w:rsid w:val="00E7096E"/>
    <w:rsid w:val="00E83EB5"/>
    <w:rsid w:val="00E86830"/>
    <w:rsid w:val="00E878BC"/>
    <w:rsid w:val="00E91098"/>
    <w:rsid w:val="00E94199"/>
    <w:rsid w:val="00EA01DC"/>
    <w:rsid w:val="00EA0512"/>
    <w:rsid w:val="00EA3647"/>
    <w:rsid w:val="00EA79E0"/>
    <w:rsid w:val="00EA7A96"/>
    <w:rsid w:val="00EB029E"/>
    <w:rsid w:val="00EB3A82"/>
    <w:rsid w:val="00EC1FFF"/>
    <w:rsid w:val="00EC5521"/>
    <w:rsid w:val="00ED2CBE"/>
    <w:rsid w:val="00ED3CFF"/>
    <w:rsid w:val="00ED4F42"/>
    <w:rsid w:val="00ED5752"/>
    <w:rsid w:val="00EE3C6F"/>
    <w:rsid w:val="00EE567F"/>
    <w:rsid w:val="00EF5D06"/>
    <w:rsid w:val="00F00665"/>
    <w:rsid w:val="00F038C1"/>
    <w:rsid w:val="00F03901"/>
    <w:rsid w:val="00F07298"/>
    <w:rsid w:val="00F14835"/>
    <w:rsid w:val="00F148F5"/>
    <w:rsid w:val="00F24912"/>
    <w:rsid w:val="00F32777"/>
    <w:rsid w:val="00F41183"/>
    <w:rsid w:val="00F45313"/>
    <w:rsid w:val="00F455D0"/>
    <w:rsid w:val="00F50CFE"/>
    <w:rsid w:val="00F60087"/>
    <w:rsid w:val="00F61F37"/>
    <w:rsid w:val="00F71BC1"/>
    <w:rsid w:val="00F86670"/>
    <w:rsid w:val="00F86E16"/>
    <w:rsid w:val="00F97054"/>
    <w:rsid w:val="00FB3386"/>
    <w:rsid w:val="00FB45D9"/>
    <w:rsid w:val="00FD707B"/>
    <w:rsid w:val="00FE5131"/>
    <w:rsid w:val="00FF1CF7"/>
    <w:rsid w:val="00FF4F27"/>
    <w:rsid w:val="00FF7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209E"/>
  <w15:chartTrackingRefBased/>
  <w15:docId w15:val="{AF455B34-248D-484D-A072-533F78A6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161"/>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161"/>
    <w:pPr>
      <w:tabs>
        <w:tab w:val="center" w:pos="4419"/>
        <w:tab w:val="right" w:pos="8838"/>
      </w:tabs>
    </w:pPr>
    <w:rPr>
      <w:rFonts w:eastAsiaTheme="minorHAnsi"/>
      <w:lang w:val="es-MX" w:eastAsia="en-US"/>
    </w:rPr>
  </w:style>
  <w:style w:type="character" w:customStyle="1" w:styleId="EncabezadoCar">
    <w:name w:val="Encabezado Car"/>
    <w:basedOn w:val="Fuentedeprrafopredeter"/>
    <w:link w:val="Encabezado"/>
    <w:uiPriority w:val="99"/>
    <w:rsid w:val="007E0161"/>
  </w:style>
  <w:style w:type="paragraph" w:styleId="Piedepgina">
    <w:name w:val="footer"/>
    <w:basedOn w:val="Normal"/>
    <w:link w:val="PiedepginaCar"/>
    <w:uiPriority w:val="99"/>
    <w:unhideWhenUsed/>
    <w:rsid w:val="007E0161"/>
    <w:pPr>
      <w:tabs>
        <w:tab w:val="center" w:pos="4419"/>
        <w:tab w:val="right" w:pos="8838"/>
      </w:tabs>
    </w:pPr>
    <w:rPr>
      <w:rFonts w:eastAsiaTheme="minorHAnsi"/>
      <w:lang w:val="es-MX" w:eastAsia="en-US"/>
    </w:rPr>
  </w:style>
  <w:style w:type="character" w:customStyle="1" w:styleId="PiedepginaCar">
    <w:name w:val="Pie de página Car"/>
    <w:basedOn w:val="Fuentedeprrafopredeter"/>
    <w:link w:val="Piedepgina"/>
    <w:uiPriority w:val="99"/>
    <w:rsid w:val="007E0161"/>
  </w:style>
  <w:style w:type="paragraph" w:styleId="Sinespaciado">
    <w:name w:val="No Spacing"/>
    <w:uiPriority w:val="1"/>
    <w:qFormat/>
    <w:rsid w:val="00C467B0"/>
    <w:rPr>
      <w:rFonts w:ascii="Calibri" w:eastAsia="Calibri" w:hAnsi="Calibri" w:cs="Times New Roman"/>
      <w:sz w:val="22"/>
      <w:szCs w:val="2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D"/>
    <w:basedOn w:val="Normal"/>
    <w:link w:val="PrrafodelistaCar"/>
    <w:uiPriority w:val="34"/>
    <w:qFormat/>
    <w:rsid w:val="004874A0"/>
    <w:pPr>
      <w:ind w:left="720"/>
      <w:contextualSpacing/>
    </w:pPr>
    <w:rPr>
      <w:rFonts w:ascii="Times New Roman" w:eastAsia="Times New Roman" w:hAnsi="Times New Roman" w:cs="Times New Roman"/>
      <w:sz w:val="20"/>
      <w:szCs w:val="20"/>
    </w:rPr>
  </w:style>
  <w:style w:type="character" w:styleId="Hipervnculo">
    <w:name w:val="Hyperlink"/>
    <w:unhideWhenUsed/>
    <w:rsid w:val="007F6B19"/>
    <w:rPr>
      <w:color w:val="0000FF"/>
      <w:u w:val="single"/>
    </w:rPr>
  </w:style>
  <w:style w:type="character" w:styleId="Mencinsinresolver">
    <w:name w:val="Unresolved Mention"/>
    <w:basedOn w:val="Fuentedeprrafopredeter"/>
    <w:uiPriority w:val="99"/>
    <w:semiHidden/>
    <w:unhideWhenUsed/>
    <w:rsid w:val="00A65E1E"/>
    <w:rPr>
      <w:color w:val="605E5C"/>
      <w:shd w:val="clear" w:color="auto" w:fill="E1DFDD"/>
    </w:rPr>
  </w:style>
  <w:style w:type="paragraph" w:customStyle="1" w:styleId="xmsonormal">
    <w:name w:val="x_msonormal"/>
    <w:basedOn w:val="Normal"/>
    <w:rsid w:val="00CD7911"/>
    <w:pPr>
      <w:spacing w:before="100" w:beforeAutospacing="1" w:after="100" w:afterAutospacing="1"/>
    </w:pPr>
    <w:rPr>
      <w:rFonts w:ascii="Times New Roman" w:eastAsia="Times New Roman" w:hAnsi="Times New Roman" w:cs="Times New Roman"/>
      <w:lang w:val="es-MX"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34606"/>
    <w:rPr>
      <w:rFonts w:ascii="Times New Roman" w:eastAsia="Times New Roman" w:hAnsi="Times New Roman" w:cs="Times New Roman"/>
      <w:sz w:val="20"/>
      <w:szCs w:val="20"/>
      <w:lang w:val="es-ES_tradnl" w:eastAsia="es-ES"/>
    </w:rPr>
  </w:style>
  <w:style w:type="paragraph" w:customStyle="1" w:styleId="Default">
    <w:name w:val="Default"/>
    <w:rsid w:val="009F219B"/>
    <w:pPr>
      <w:autoSpaceDE w:val="0"/>
      <w:autoSpaceDN w:val="0"/>
      <w:adjustRightInd w:val="0"/>
    </w:pPr>
    <w:rPr>
      <w:rFonts w:ascii="Open Sans" w:hAnsi="Open Sans" w:cs="Open Sans"/>
      <w:color w:val="000000"/>
    </w:rPr>
  </w:style>
  <w:style w:type="character" w:customStyle="1" w:styleId="hgkelc">
    <w:name w:val="hgkelc"/>
    <w:basedOn w:val="Fuentedeprrafopredeter"/>
    <w:rsid w:val="00B81F3C"/>
  </w:style>
  <w:style w:type="table" w:styleId="Tablaconcuadrcula">
    <w:name w:val="Table Grid"/>
    <w:basedOn w:val="Tablanormal"/>
    <w:uiPriority w:val="39"/>
    <w:rsid w:val="00F3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9349">
      <w:bodyDiv w:val="1"/>
      <w:marLeft w:val="0"/>
      <w:marRight w:val="0"/>
      <w:marTop w:val="0"/>
      <w:marBottom w:val="0"/>
      <w:divBdr>
        <w:top w:val="none" w:sz="0" w:space="0" w:color="auto"/>
        <w:left w:val="none" w:sz="0" w:space="0" w:color="auto"/>
        <w:bottom w:val="none" w:sz="0" w:space="0" w:color="auto"/>
        <w:right w:val="none" w:sz="0" w:space="0" w:color="auto"/>
      </w:divBdr>
    </w:div>
    <w:div w:id="243496648">
      <w:bodyDiv w:val="1"/>
      <w:marLeft w:val="0"/>
      <w:marRight w:val="0"/>
      <w:marTop w:val="0"/>
      <w:marBottom w:val="0"/>
      <w:divBdr>
        <w:top w:val="none" w:sz="0" w:space="0" w:color="auto"/>
        <w:left w:val="none" w:sz="0" w:space="0" w:color="auto"/>
        <w:bottom w:val="none" w:sz="0" w:space="0" w:color="auto"/>
        <w:right w:val="none" w:sz="0" w:space="0" w:color="auto"/>
      </w:divBdr>
    </w:div>
    <w:div w:id="301350198">
      <w:bodyDiv w:val="1"/>
      <w:marLeft w:val="0"/>
      <w:marRight w:val="0"/>
      <w:marTop w:val="0"/>
      <w:marBottom w:val="0"/>
      <w:divBdr>
        <w:top w:val="none" w:sz="0" w:space="0" w:color="auto"/>
        <w:left w:val="none" w:sz="0" w:space="0" w:color="auto"/>
        <w:bottom w:val="none" w:sz="0" w:space="0" w:color="auto"/>
        <w:right w:val="none" w:sz="0" w:space="0" w:color="auto"/>
      </w:divBdr>
    </w:div>
    <w:div w:id="385879221">
      <w:bodyDiv w:val="1"/>
      <w:marLeft w:val="0"/>
      <w:marRight w:val="0"/>
      <w:marTop w:val="0"/>
      <w:marBottom w:val="0"/>
      <w:divBdr>
        <w:top w:val="none" w:sz="0" w:space="0" w:color="auto"/>
        <w:left w:val="none" w:sz="0" w:space="0" w:color="auto"/>
        <w:bottom w:val="none" w:sz="0" w:space="0" w:color="auto"/>
        <w:right w:val="none" w:sz="0" w:space="0" w:color="auto"/>
      </w:divBdr>
    </w:div>
    <w:div w:id="462118934">
      <w:bodyDiv w:val="1"/>
      <w:marLeft w:val="0"/>
      <w:marRight w:val="0"/>
      <w:marTop w:val="0"/>
      <w:marBottom w:val="0"/>
      <w:divBdr>
        <w:top w:val="none" w:sz="0" w:space="0" w:color="auto"/>
        <w:left w:val="none" w:sz="0" w:space="0" w:color="auto"/>
        <w:bottom w:val="none" w:sz="0" w:space="0" w:color="auto"/>
        <w:right w:val="none" w:sz="0" w:space="0" w:color="auto"/>
      </w:divBdr>
    </w:div>
    <w:div w:id="704137262">
      <w:bodyDiv w:val="1"/>
      <w:marLeft w:val="0"/>
      <w:marRight w:val="0"/>
      <w:marTop w:val="0"/>
      <w:marBottom w:val="0"/>
      <w:divBdr>
        <w:top w:val="none" w:sz="0" w:space="0" w:color="auto"/>
        <w:left w:val="none" w:sz="0" w:space="0" w:color="auto"/>
        <w:bottom w:val="none" w:sz="0" w:space="0" w:color="auto"/>
        <w:right w:val="none" w:sz="0" w:space="0" w:color="auto"/>
      </w:divBdr>
    </w:div>
    <w:div w:id="738792588">
      <w:bodyDiv w:val="1"/>
      <w:marLeft w:val="0"/>
      <w:marRight w:val="0"/>
      <w:marTop w:val="0"/>
      <w:marBottom w:val="0"/>
      <w:divBdr>
        <w:top w:val="none" w:sz="0" w:space="0" w:color="auto"/>
        <w:left w:val="none" w:sz="0" w:space="0" w:color="auto"/>
        <w:bottom w:val="none" w:sz="0" w:space="0" w:color="auto"/>
        <w:right w:val="none" w:sz="0" w:space="0" w:color="auto"/>
      </w:divBdr>
    </w:div>
    <w:div w:id="1226257882">
      <w:bodyDiv w:val="1"/>
      <w:marLeft w:val="0"/>
      <w:marRight w:val="0"/>
      <w:marTop w:val="0"/>
      <w:marBottom w:val="0"/>
      <w:divBdr>
        <w:top w:val="none" w:sz="0" w:space="0" w:color="auto"/>
        <w:left w:val="none" w:sz="0" w:space="0" w:color="auto"/>
        <w:bottom w:val="none" w:sz="0" w:space="0" w:color="auto"/>
        <w:right w:val="none" w:sz="0" w:space="0" w:color="auto"/>
      </w:divBdr>
    </w:div>
    <w:div w:id="1558125259">
      <w:bodyDiv w:val="1"/>
      <w:marLeft w:val="0"/>
      <w:marRight w:val="0"/>
      <w:marTop w:val="0"/>
      <w:marBottom w:val="0"/>
      <w:divBdr>
        <w:top w:val="none" w:sz="0" w:space="0" w:color="auto"/>
        <w:left w:val="none" w:sz="0" w:space="0" w:color="auto"/>
        <w:bottom w:val="none" w:sz="0" w:space="0" w:color="auto"/>
        <w:right w:val="none" w:sz="0" w:space="0" w:color="auto"/>
      </w:divBdr>
    </w:div>
    <w:div w:id="1991202449">
      <w:bodyDiv w:val="1"/>
      <w:marLeft w:val="0"/>
      <w:marRight w:val="0"/>
      <w:marTop w:val="0"/>
      <w:marBottom w:val="0"/>
      <w:divBdr>
        <w:top w:val="none" w:sz="0" w:space="0" w:color="auto"/>
        <w:left w:val="none" w:sz="0" w:space="0" w:color="auto"/>
        <w:bottom w:val="none" w:sz="0" w:space="0" w:color="auto"/>
        <w:right w:val="none" w:sz="0" w:space="0" w:color="auto"/>
      </w:divBdr>
    </w:div>
    <w:div w:id="21414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sur.mx/transparenciafocalizada/indice-de-expedientes-reservad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DD79-B896-4BC5-8D4F-49D54B91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1849</Words>
  <Characters>10175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Carricart Ganivet</dc:creator>
  <cp:keywords/>
  <dc:description/>
  <cp:lastModifiedBy>Leticia Espinosa Cruz</cp:lastModifiedBy>
  <cp:revision>11</cp:revision>
  <cp:lastPrinted>2024-03-11T16:14:00Z</cp:lastPrinted>
  <dcterms:created xsi:type="dcterms:W3CDTF">2024-09-30T17:24:00Z</dcterms:created>
  <dcterms:modified xsi:type="dcterms:W3CDTF">2024-11-07T18:06:00Z</dcterms:modified>
</cp:coreProperties>
</file>