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9E42" w14:textId="77777777" w:rsidR="00EF3F60" w:rsidRPr="009B69B7" w:rsidRDefault="00EF3F60" w:rsidP="00EF3F60">
      <w:pPr>
        <w:rPr>
          <w:rFonts w:ascii="Montserrata" w:hAnsi="Montserrata"/>
          <w:sz w:val="22"/>
          <w:szCs w:val="22"/>
          <w:lang w:val="es-MX"/>
        </w:rPr>
      </w:pPr>
    </w:p>
    <w:p w14:paraId="6EA6EF5E" w14:textId="69E7041F" w:rsidR="00477920" w:rsidRPr="00FA34CF" w:rsidRDefault="00477920" w:rsidP="00477920">
      <w:pPr>
        <w:jc w:val="center"/>
        <w:rPr>
          <w:rFonts w:ascii="Geomanist" w:hAnsi="Geomanist" w:cs="Arial"/>
          <w:b/>
          <w:color w:val="000000"/>
          <w:sz w:val="24"/>
          <w:szCs w:val="24"/>
          <w:lang w:val="es-MX" w:eastAsia="en-US"/>
        </w:rPr>
      </w:pPr>
      <w:r w:rsidRPr="00FA34CF">
        <w:rPr>
          <w:rFonts w:ascii="Geomanist" w:hAnsi="Geomanist" w:cs="Arial"/>
          <w:b/>
          <w:color w:val="000000"/>
          <w:sz w:val="24"/>
          <w:szCs w:val="24"/>
          <w:lang w:val="es-MX" w:eastAsia="en-US"/>
        </w:rPr>
        <w:t xml:space="preserve">Anexo </w:t>
      </w:r>
      <w:r w:rsidR="004822B4" w:rsidRPr="00FA34CF">
        <w:rPr>
          <w:rFonts w:ascii="Geomanist" w:hAnsi="Geomanist" w:cs="Arial"/>
          <w:b/>
          <w:color w:val="000000"/>
          <w:sz w:val="24"/>
          <w:szCs w:val="24"/>
          <w:lang w:val="es-MX" w:eastAsia="en-US"/>
        </w:rPr>
        <w:t>5.16</w:t>
      </w:r>
      <w:r w:rsidRPr="00FA34CF">
        <w:rPr>
          <w:rFonts w:ascii="Geomanist" w:hAnsi="Geomanist" w:cs="Arial"/>
          <w:b/>
          <w:color w:val="000000"/>
          <w:sz w:val="24"/>
          <w:szCs w:val="24"/>
          <w:lang w:val="es-MX" w:eastAsia="en-US"/>
        </w:rPr>
        <w:t xml:space="preserve"> Recursos de Fuentes Externas</w:t>
      </w:r>
    </w:p>
    <w:p w14:paraId="1539E276" w14:textId="77777777" w:rsidR="00477920" w:rsidRPr="007D5BBE" w:rsidRDefault="00477920" w:rsidP="00477920">
      <w:pPr>
        <w:jc w:val="both"/>
        <w:rPr>
          <w:rFonts w:ascii="Geomanist" w:hAnsi="Geomanist" w:cs="Arial"/>
          <w:color w:val="000000"/>
          <w:sz w:val="22"/>
          <w:szCs w:val="22"/>
          <w:lang w:val="es-MX" w:eastAsia="en-US"/>
        </w:rPr>
      </w:pPr>
    </w:p>
    <w:p w14:paraId="68B17F57" w14:textId="675A6475" w:rsidR="00477920" w:rsidRPr="007D5BBE" w:rsidRDefault="00477920" w:rsidP="00477920">
      <w:pPr>
        <w:jc w:val="both"/>
        <w:rPr>
          <w:rFonts w:ascii="Geomanist" w:hAnsi="Geomanist" w:cs="Arial"/>
          <w:color w:val="000000"/>
          <w:sz w:val="22"/>
          <w:szCs w:val="22"/>
          <w:lang w:val="es-MX" w:eastAsia="en-US"/>
        </w:rPr>
      </w:pPr>
      <w:r w:rsidRPr="007D5BBE">
        <w:rPr>
          <w:rFonts w:ascii="Geomanist" w:hAnsi="Geomanist" w:cs="Arial"/>
          <w:color w:val="000000"/>
          <w:sz w:val="22"/>
          <w:szCs w:val="22"/>
          <w:lang w:val="es-MX" w:eastAsia="en-US"/>
        </w:rPr>
        <w:t>Información financiera de Fondos institucionales, mixtos, sectoriales y transferencias del CONACyT para convenios y proyectos específicos, recibido durante el primer semestre 202</w:t>
      </w:r>
      <w:r w:rsidR="00FA403F" w:rsidRPr="007D5BBE">
        <w:rPr>
          <w:rFonts w:ascii="Geomanist" w:hAnsi="Geomanist" w:cs="Arial"/>
          <w:color w:val="000000"/>
          <w:sz w:val="22"/>
          <w:szCs w:val="22"/>
          <w:lang w:val="es-MX" w:eastAsia="en-US"/>
        </w:rPr>
        <w:t>4</w:t>
      </w:r>
      <w:r w:rsidRPr="007D5BBE">
        <w:rPr>
          <w:rFonts w:ascii="Geomanist" w:hAnsi="Geomanist" w:cs="Arial"/>
          <w:color w:val="000000"/>
          <w:sz w:val="22"/>
          <w:szCs w:val="22"/>
          <w:lang w:val="es-MX" w:eastAsia="en-US"/>
        </w:rPr>
        <w:t>, comparado con el primer semestre 202</w:t>
      </w:r>
      <w:r w:rsidR="00FA403F" w:rsidRPr="007D5BBE">
        <w:rPr>
          <w:rFonts w:ascii="Geomanist" w:hAnsi="Geomanist" w:cs="Arial"/>
          <w:color w:val="000000"/>
          <w:sz w:val="22"/>
          <w:szCs w:val="22"/>
          <w:lang w:val="es-MX" w:eastAsia="en-US"/>
        </w:rPr>
        <w:t>3</w:t>
      </w:r>
      <w:r w:rsidRPr="007D5BBE">
        <w:rPr>
          <w:rFonts w:ascii="Geomanist" w:hAnsi="Geomanist" w:cs="Arial"/>
          <w:color w:val="000000"/>
          <w:sz w:val="22"/>
          <w:szCs w:val="22"/>
          <w:lang w:val="es-MX" w:eastAsia="en-US"/>
        </w:rPr>
        <w:t>.</w:t>
      </w:r>
    </w:p>
    <w:p w14:paraId="7C6F0877" w14:textId="77777777" w:rsidR="00477920" w:rsidRPr="00E522AD" w:rsidRDefault="00477920" w:rsidP="00477920">
      <w:pPr>
        <w:jc w:val="both"/>
        <w:rPr>
          <w:rFonts w:ascii="Montserrat" w:hAnsi="Montserrat" w:cs="Arial"/>
          <w:color w:val="000000"/>
          <w:sz w:val="22"/>
          <w:szCs w:val="22"/>
          <w:lang w:val="es-MX" w:eastAsia="en-US"/>
        </w:rPr>
      </w:pPr>
    </w:p>
    <w:p w14:paraId="2B3DF182" w14:textId="77777777" w:rsidR="00477920" w:rsidRPr="00E522AD" w:rsidRDefault="00477920" w:rsidP="00477920">
      <w:pPr>
        <w:jc w:val="both"/>
        <w:rPr>
          <w:rFonts w:ascii="Montserrat" w:hAnsi="Montserrat" w:cs="Tahoma"/>
          <w:b/>
          <w:bCs/>
          <w:lang w:val="es-MX"/>
        </w:rPr>
      </w:pPr>
    </w:p>
    <w:tbl>
      <w:tblPr>
        <w:tblStyle w:val="Tablaconcuadrcula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2126"/>
        <w:gridCol w:w="2126"/>
        <w:gridCol w:w="2126"/>
      </w:tblGrid>
      <w:tr w:rsidR="00477920" w:rsidRPr="00E522AD" w14:paraId="0388DAE3" w14:textId="77777777" w:rsidTr="003E6B6C">
        <w:trPr>
          <w:jc w:val="center"/>
        </w:trPr>
        <w:tc>
          <w:tcPr>
            <w:tcW w:w="3125" w:type="dxa"/>
            <w:vMerge w:val="restart"/>
            <w:vAlign w:val="center"/>
          </w:tcPr>
          <w:p w14:paraId="0266C12D" w14:textId="77777777" w:rsidR="00477920" w:rsidRPr="00E522AD" w:rsidRDefault="00477920" w:rsidP="00477920">
            <w:pPr>
              <w:jc w:val="center"/>
              <w:rPr>
                <w:rFonts w:ascii="Montserrat" w:eastAsia="Arial Unicode MS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hAnsi="Montserrat" w:cs="Arial"/>
                <w:b/>
                <w:sz w:val="21"/>
                <w:szCs w:val="21"/>
              </w:rPr>
              <w:t>FUENTE DE FINANCIAMIENTO</w:t>
            </w:r>
          </w:p>
        </w:tc>
        <w:tc>
          <w:tcPr>
            <w:tcW w:w="2126" w:type="dxa"/>
            <w:vAlign w:val="center"/>
          </w:tcPr>
          <w:p w14:paraId="3B0D909F" w14:textId="603A8174" w:rsidR="00477920" w:rsidRPr="00E522AD" w:rsidRDefault="00477920" w:rsidP="00477920">
            <w:pPr>
              <w:jc w:val="center"/>
              <w:rPr>
                <w:rFonts w:ascii="Montserrat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hAnsi="Montserrat" w:cs="Arial"/>
                <w:b/>
                <w:sz w:val="21"/>
                <w:szCs w:val="21"/>
              </w:rPr>
              <w:t>RECIBIDO ENERO- JUNIO 202</w:t>
            </w:r>
            <w:r w:rsidR="00D27162">
              <w:rPr>
                <w:rFonts w:ascii="Montserrat" w:hAnsi="Montserrat" w:cs="Arial"/>
                <w:b/>
                <w:sz w:val="2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1272033A" w14:textId="747D346A" w:rsidR="00477920" w:rsidRPr="00E522AD" w:rsidRDefault="00477920" w:rsidP="00477920">
            <w:pPr>
              <w:jc w:val="center"/>
              <w:rPr>
                <w:rFonts w:ascii="Montserrat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hAnsi="Montserrat" w:cs="Arial"/>
                <w:b/>
                <w:sz w:val="21"/>
                <w:szCs w:val="21"/>
              </w:rPr>
              <w:t>RECIBIDO ENERO-JUNIO 202</w:t>
            </w:r>
            <w:r w:rsidR="00D27162">
              <w:rPr>
                <w:rFonts w:ascii="Montserrat" w:hAnsi="Montserrat" w:cs="Arial"/>
                <w:b/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3AF27BEC" w14:textId="77777777" w:rsidR="00477920" w:rsidRPr="00E522AD" w:rsidRDefault="00477920" w:rsidP="00477920">
            <w:pPr>
              <w:jc w:val="center"/>
              <w:rPr>
                <w:rFonts w:ascii="Montserrat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hAnsi="Montserrat" w:cs="Arial"/>
                <w:b/>
                <w:sz w:val="21"/>
                <w:szCs w:val="21"/>
              </w:rPr>
              <w:t>DIFERENCIA</w:t>
            </w:r>
          </w:p>
        </w:tc>
      </w:tr>
      <w:tr w:rsidR="00477920" w:rsidRPr="00E522AD" w14:paraId="48A4B4D7" w14:textId="77777777" w:rsidTr="003E6B6C">
        <w:trPr>
          <w:jc w:val="center"/>
        </w:trPr>
        <w:tc>
          <w:tcPr>
            <w:tcW w:w="3125" w:type="dxa"/>
            <w:vMerge/>
            <w:vAlign w:val="center"/>
          </w:tcPr>
          <w:p w14:paraId="3441FB40" w14:textId="77777777" w:rsidR="00477920" w:rsidRPr="00E522AD" w:rsidRDefault="00477920" w:rsidP="00477920">
            <w:pPr>
              <w:rPr>
                <w:rFonts w:ascii="Montserrat" w:eastAsia="Arial Unicode MS" w:hAnsi="Montserrat" w:cs="Arial"/>
                <w:sz w:val="21"/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62509659" w14:textId="77777777" w:rsidR="00477920" w:rsidRPr="00E522AD" w:rsidRDefault="00477920" w:rsidP="00477920">
            <w:pPr>
              <w:jc w:val="center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(MILES DE PESOS)</w:t>
            </w:r>
          </w:p>
        </w:tc>
      </w:tr>
      <w:tr w:rsidR="00D27162" w:rsidRPr="00E522AD" w14:paraId="472EC66A" w14:textId="77777777" w:rsidTr="003E6B6C">
        <w:trPr>
          <w:jc w:val="center"/>
        </w:trPr>
        <w:tc>
          <w:tcPr>
            <w:tcW w:w="3125" w:type="dxa"/>
            <w:vAlign w:val="center"/>
          </w:tcPr>
          <w:p w14:paraId="71BA7425" w14:textId="77777777" w:rsidR="00D27162" w:rsidRPr="00E522AD" w:rsidRDefault="00D27162" w:rsidP="00D27162">
            <w:pPr>
              <w:rPr>
                <w:rFonts w:ascii="Montserrat" w:eastAsia="Arial Unicode MS" w:hAnsi="Montserrat" w:cs="Arial"/>
                <w:sz w:val="21"/>
                <w:szCs w:val="21"/>
              </w:rPr>
            </w:pP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Fondos</w:t>
            </w:r>
            <w:proofErr w:type="spellEnd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 xml:space="preserve"> </w:t>
            </w: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Sectoriales</w:t>
            </w:r>
            <w:proofErr w:type="spellEnd"/>
          </w:p>
        </w:tc>
        <w:tc>
          <w:tcPr>
            <w:tcW w:w="2126" w:type="dxa"/>
            <w:vAlign w:val="center"/>
          </w:tcPr>
          <w:p w14:paraId="190699B1" w14:textId="3A8BE694" w:rsidR="00D27162" w:rsidRPr="00E522AD" w:rsidRDefault="003E6B6C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2D42E482" w14:textId="2EF49680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166,9</w:t>
            </w:r>
          </w:p>
        </w:tc>
        <w:tc>
          <w:tcPr>
            <w:tcW w:w="2126" w:type="dxa"/>
            <w:vAlign w:val="center"/>
          </w:tcPr>
          <w:p w14:paraId="7A451475" w14:textId="3BD14145" w:rsidR="00D27162" w:rsidRPr="00E522AD" w:rsidRDefault="00FA403F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sz w:val="21"/>
                <w:szCs w:val="21"/>
              </w:rPr>
              <w:t>-</w:t>
            </w:r>
            <w:r w:rsidR="00D27162" w:rsidRPr="00E522AD">
              <w:rPr>
                <w:rFonts w:ascii="Montserrat" w:eastAsia="Arial Unicode MS" w:hAnsi="Montserrat" w:cs="Arial"/>
                <w:sz w:val="21"/>
                <w:szCs w:val="21"/>
              </w:rPr>
              <w:t>166.9</w:t>
            </w:r>
          </w:p>
        </w:tc>
      </w:tr>
      <w:tr w:rsidR="00D27162" w:rsidRPr="00E522AD" w14:paraId="7F1D47CC" w14:textId="77777777" w:rsidTr="003E6B6C">
        <w:trPr>
          <w:jc w:val="center"/>
        </w:trPr>
        <w:tc>
          <w:tcPr>
            <w:tcW w:w="3125" w:type="dxa"/>
            <w:vAlign w:val="center"/>
          </w:tcPr>
          <w:p w14:paraId="687E985D" w14:textId="77777777" w:rsidR="00D27162" w:rsidRPr="00E522AD" w:rsidRDefault="00D27162" w:rsidP="00D27162">
            <w:pPr>
              <w:rPr>
                <w:rFonts w:ascii="Montserrat" w:eastAsia="Arial Unicode MS" w:hAnsi="Montserrat" w:cs="Arial"/>
                <w:sz w:val="21"/>
                <w:szCs w:val="21"/>
              </w:rPr>
            </w:pP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Fondos</w:t>
            </w:r>
            <w:proofErr w:type="spellEnd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 xml:space="preserve"> </w:t>
            </w: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Mixtos</w:t>
            </w:r>
            <w:proofErr w:type="spellEnd"/>
          </w:p>
        </w:tc>
        <w:tc>
          <w:tcPr>
            <w:tcW w:w="2126" w:type="dxa"/>
            <w:vAlign w:val="center"/>
          </w:tcPr>
          <w:p w14:paraId="5BA8090A" w14:textId="6CCBC66F" w:rsidR="00D27162" w:rsidRPr="00E522AD" w:rsidRDefault="003E6B6C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586FBBFE" w14:textId="0DE8F4FE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518BE6AC" w14:textId="2B48743E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</w:tr>
      <w:tr w:rsidR="00D27162" w:rsidRPr="00E522AD" w14:paraId="309FA809" w14:textId="77777777" w:rsidTr="003E6B6C">
        <w:trPr>
          <w:jc w:val="center"/>
        </w:trPr>
        <w:tc>
          <w:tcPr>
            <w:tcW w:w="3125" w:type="dxa"/>
            <w:vAlign w:val="center"/>
          </w:tcPr>
          <w:p w14:paraId="21584BDB" w14:textId="57C41F42" w:rsidR="00D27162" w:rsidRPr="00E522AD" w:rsidRDefault="00D27162" w:rsidP="00D27162">
            <w:pPr>
              <w:rPr>
                <w:rFonts w:ascii="Montserrat" w:eastAsia="Arial Unicode MS" w:hAnsi="Montserrat" w:cs="Arial"/>
                <w:sz w:val="21"/>
                <w:szCs w:val="21"/>
              </w:rPr>
            </w:pP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Transferencias</w:t>
            </w:r>
            <w:proofErr w:type="spellEnd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 xml:space="preserve"> </w:t>
            </w: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CONA</w:t>
            </w:r>
            <w:r w:rsidR="003E6B6C">
              <w:rPr>
                <w:rFonts w:ascii="Montserrat" w:eastAsia="Arial Unicode MS" w:hAnsi="Montserrat" w:cs="Arial"/>
                <w:sz w:val="21"/>
                <w:szCs w:val="21"/>
              </w:rPr>
              <w:t>H</w:t>
            </w: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CyT</w:t>
            </w:r>
            <w:proofErr w:type="spellEnd"/>
          </w:p>
        </w:tc>
        <w:tc>
          <w:tcPr>
            <w:tcW w:w="2126" w:type="dxa"/>
            <w:vAlign w:val="center"/>
          </w:tcPr>
          <w:p w14:paraId="5362D5DE" w14:textId="712C6C53" w:rsidR="00D27162" w:rsidRPr="00E522AD" w:rsidRDefault="00FA403F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11B3802A" w14:textId="7B4CEEC3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2E488EEB" w14:textId="1A683743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</w:tr>
      <w:tr w:rsidR="00D27162" w:rsidRPr="00E522AD" w14:paraId="191129D8" w14:textId="77777777" w:rsidTr="003E6B6C">
        <w:trPr>
          <w:jc w:val="center"/>
        </w:trPr>
        <w:tc>
          <w:tcPr>
            <w:tcW w:w="3125" w:type="dxa"/>
            <w:vAlign w:val="center"/>
          </w:tcPr>
          <w:p w14:paraId="77FE32DD" w14:textId="77777777" w:rsidR="00D27162" w:rsidRPr="00E522AD" w:rsidRDefault="00D27162" w:rsidP="00D27162">
            <w:pPr>
              <w:rPr>
                <w:rFonts w:ascii="Montserrat" w:eastAsia="Arial Unicode MS" w:hAnsi="Montserrat" w:cs="Arial"/>
                <w:sz w:val="21"/>
                <w:szCs w:val="21"/>
              </w:rPr>
            </w:pP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Fondos</w:t>
            </w:r>
            <w:proofErr w:type="spellEnd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 xml:space="preserve"> </w:t>
            </w: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Institucionales</w:t>
            </w:r>
            <w:proofErr w:type="spellEnd"/>
          </w:p>
        </w:tc>
        <w:tc>
          <w:tcPr>
            <w:tcW w:w="2126" w:type="dxa"/>
            <w:vAlign w:val="center"/>
          </w:tcPr>
          <w:p w14:paraId="6DF24111" w14:textId="19F9187D" w:rsidR="00D27162" w:rsidRPr="00E522AD" w:rsidRDefault="00FA403F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sz w:val="21"/>
                <w:szCs w:val="21"/>
              </w:rPr>
              <w:t>10,185.2</w:t>
            </w:r>
          </w:p>
        </w:tc>
        <w:tc>
          <w:tcPr>
            <w:tcW w:w="2126" w:type="dxa"/>
            <w:vAlign w:val="center"/>
          </w:tcPr>
          <w:p w14:paraId="01B721E4" w14:textId="6903E13E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13,114.4</w:t>
            </w:r>
          </w:p>
        </w:tc>
        <w:tc>
          <w:tcPr>
            <w:tcW w:w="2126" w:type="dxa"/>
            <w:vAlign w:val="center"/>
          </w:tcPr>
          <w:p w14:paraId="699BCCEA" w14:textId="7461FAE1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-</w:t>
            </w:r>
            <w:r w:rsidR="00FA403F">
              <w:rPr>
                <w:rFonts w:ascii="Montserrat" w:eastAsia="Arial Unicode MS" w:hAnsi="Montserrat" w:cs="Arial"/>
                <w:sz w:val="21"/>
                <w:szCs w:val="21"/>
              </w:rPr>
              <w:t>2,929.2</w:t>
            </w: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.0</w:t>
            </w:r>
          </w:p>
        </w:tc>
      </w:tr>
      <w:tr w:rsidR="00D27162" w:rsidRPr="00E522AD" w14:paraId="5912FB7D" w14:textId="77777777" w:rsidTr="003E6B6C">
        <w:trPr>
          <w:jc w:val="center"/>
        </w:trPr>
        <w:tc>
          <w:tcPr>
            <w:tcW w:w="3125" w:type="dxa"/>
            <w:vAlign w:val="center"/>
          </w:tcPr>
          <w:p w14:paraId="427EFF1D" w14:textId="77777777" w:rsidR="00D27162" w:rsidRPr="00E522AD" w:rsidRDefault="00D27162" w:rsidP="00D27162">
            <w:pPr>
              <w:rPr>
                <w:rFonts w:ascii="Montserrat" w:eastAsia="Arial Unicode MS" w:hAnsi="Montserrat" w:cs="Arial"/>
                <w:sz w:val="21"/>
                <w:szCs w:val="21"/>
              </w:rPr>
            </w:pP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Apoyos</w:t>
            </w:r>
            <w:proofErr w:type="spellEnd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 xml:space="preserve"> </w:t>
            </w:r>
            <w:proofErr w:type="spellStart"/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Institucionales</w:t>
            </w:r>
            <w:proofErr w:type="spellEnd"/>
          </w:p>
        </w:tc>
        <w:tc>
          <w:tcPr>
            <w:tcW w:w="2126" w:type="dxa"/>
            <w:vAlign w:val="center"/>
          </w:tcPr>
          <w:p w14:paraId="1D0DC57E" w14:textId="1418139A" w:rsidR="00D27162" w:rsidRPr="00E522AD" w:rsidRDefault="00FA403F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345E30F7" w14:textId="709A256C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1C89446E" w14:textId="3C42204B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sz w:val="21"/>
                <w:szCs w:val="21"/>
              </w:rPr>
              <w:t>0.0</w:t>
            </w:r>
          </w:p>
        </w:tc>
      </w:tr>
      <w:tr w:rsidR="00D27162" w:rsidRPr="00E522AD" w14:paraId="0138A8AA" w14:textId="77777777" w:rsidTr="003E6B6C">
        <w:trPr>
          <w:trHeight w:val="104"/>
          <w:jc w:val="center"/>
        </w:trPr>
        <w:tc>
          <w:tcPr>
            <w:tcW w:w="3125" w:type="dxa"/>
            <w:vAlign w:val="center"/>
          </w:tcPr>
          <w:p w14:paraId="4846C7D8" w14:textId="77777777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hAnsi="Montserrat" w:cs="Arial"/>
                <w:b/>
                <w:sz w:val="21"/>
                <w:szCs w:val="21"/>
              </w:rPr>
              <w:t xml:space="preserve">GRAN TOTAL: </w:t>
            </w:r>
          </w:p>
        </w:tc>
        <w:tc>
          <w:tcPr>
            <w:tcW w:w="2126" w:type="dxa"/>
            <w:vAlign w:val="center"/>
          </w:tcPr>
          <w:p w14:paraId="5E6D96B6" w14:textId="09206BB9" w:rsidR="00D27162" w:rsidRPr="00E522AD" w:rsidRDefault="00FA403F" w:rsidP="00D27162">
            <w:pPr>
              <w:jc w:val="right"/>
              <w:rPr>
                <w:rFonts w:ascii="Montserrat" w:eastAsia="Arial Unicode MS" w:hAnsi="Montserrat" w:cs="Arial"/>
                <w:b/>
                <w:sz w:val="21"/>
                <w:szCs w:val="21"/>
              </w:rPr>
            </w:pPr>
            <w:r>
              <w:rPr>
                <w:rFonts w:ascii="Montserrat" w:eastAsia="Arial Unicode MS" w:hAnsi="Montserrat" w:cs="Arial"/>
                <w:b/>
                <w:sz w:val="21"/>
                <w:szCs w:val="21"/>
              </w:rPr>
              <w:t>10,185.2</w:t>
            </w:r>
          </w:p>
        </w:tc>
        <w:tc>
          <w:tcPr>
            <w:tcW w:w="2126" w:type="dxa"/>
            <w:vAlign w:val="center"/>
          </w:tcPr>
          <w:p w14:paraId="2D3BBDE1" w14:textId="18D373FD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b/>
                <w:sz w:val="21"/>
                <w:szCs w:val="21"/>
              </w:rPr>
              <w:t>13,281.3</w:t>
            </w:r>
          </w:p>
        </w:tc>
        <w:tc>
          <w:tcPr>
            <w:tcW w:w="2126" w:type="dxa"/>
            <w:vAlign w:val="center"/>
          </w:tcPr>
          <w:p w14:paraId="67F01A95" w14:textId="7A2E5BF3" w:rsidR="00D27162" w:rsidRPr="00E522AD" w:rsidRDefault="00D27162" w:rsidP="00D27162">
            <w:pPr>
              <w:jc w:val="right"/>
              <w:rPr>
                <w:rFonts w:ascii="Montserrat" w:eastAsia="Arial Unicode MS" w:hAnsi="Montserrat" w:cs="Arial"/>
                <w:b/>
                <w:sz w:val="21"/>
                <w:szCs w:val="21"/>
              </w:rPr>
            </w:pPr>
            <w:r w:rsidRPr="00E522AD">
              <w:rPr>
                <w:rFonts w:ascii="Montserrat" w:eastAsia="Arial Unicode MS" w:hAnsi="Montserrat" w:cs="Arial"/>
                <w:b/>
                <w:sz w:val="21"/>
                <w:szCs w:val="21"/>
              </w:rPr>
              <w:t>-</w:t>
            </w:r>
            <w:r w:rsidR="00FA403F">
              <w:rPr>
                <w:rFonts w:ascii="Montserrat" w:eastAsia="Arial Unicode MS" w:hAnsi="Montserrat" w:cs="Arial"/>
                <w:b/>
                <w:sz w:val="21"/>
                <w:szCs w:val="21"/>
              </w:rPr>
              <w:t>3,096.1</w:t>
            </w:r>
          </w:p>
        </w:tc>
      </w:tr>
    </w:tbl>
    <w:p w14:paraId="306824B7" w14:textId="77777777" w:rsidR="00CB3976" w:rsidRDefault="00CB3976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1AC6441F" w14:textId="77777777" w:rsidR="00A72369" w:rsidRDefault="00A72369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14B9A736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79D48599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15FA90C4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67E40AD6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0AB5A86E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29AD9A97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03BC8AA3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0E90F188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21101F53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30B58A1A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28711081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66676F61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1D44E7C1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5C07576D" w14:textId="77777777" w:rsidR="00FA403F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6467460A" w14:textId="77777777" w:rsidR="00FA403F" w:rsidRPr="00E522AD" w:rsidRDefault="00FA403F" w:rsidP="00EF3F60">
      <w:pPr>
        <w:tabs>
          <w:tab w:val="left" w:pos="4155"/>
        </w:tabs>
        <w:rPr>
          <w:rFonts w:ascii="Montserrat" w:hAnsi="Montserrat"/>
          <w:sz w:val="22"/>
          <w:szCs w:val="22"/>
          <w:lang w:val="es-MX"/>
        </w:rPr>
      </w:pPr>
    </w:p>
    <w:p w14:paraId="72783C93" w14:textId="1A0BCD15" w:rsidR="00477920" w:rsidRPr="00E522AD" w:rsidRDefault="0043791F" w:rsidP="00477920">
      <w:pPr>
        <w:pStyle w:val="Prrafodelista"/>
        <w:numPr>
          <w:ilvl w:val="0"/>
          <w:numId w:val="5"/>
        </w:numPr>
        <w:rPr>
          <w:rFonts w:ascii="Montserrat" w:hAnsi="Montserrat"/>
          <w:b/>
        </w:rPr>
      </w:pPr>
      <w:r w:rsidRPr="00E522AD">
        <w:rPr>
          <w:rFonts w:ascii="Montserrat" w:hAnsi="Montserrat"/>
          <w:b/>
        </w:rPr>
        <w:t>R</w:t>
      </w:r>
      <w:r w:rsidR="00477920" w:rsidRPr="00E522AD">
        <w:rPr>
          <w:rFonts w:ascii="Montserrat" w:hAnsi="Montserrat"/>
          <w:b/>
        </w:rPr>
        <w:t>elación de proyectos apoyados.</w:t>
      </w:r>
    </w:p>
    <w:p w14:paraId="18D4E198" w14:textId="77777777" w:rsidR="007E6045" w:rsidRPr="00E522AD" w:rsidRDefault="007E6045" w:rsidP="007E6045">
      <w:pPr>
        <w:rPr>
          <w:rFonts w:ascii="Montserrat" w:hAnsi="Montserrat"/>
          <w:b/>
        </w:rPr>
      </w:pPr>
    </w:p>
    <w:tbl>
      <w:tblPr>
        <w:tblW w:w="13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2774"/>
        <w:gridCol w:w="1441"/>
        <w:gridCol w:w="1327"/>
        <w:gridCol w:w="1472"/>
        <w:gridCol w:w="2164"/>
      </w:tblGrid>
      <w:tr w:rsidR="003F2905" w:rsidRPr="00ED52FA" w14:paraId="65BE111A" w14:textId="77777777" w:rsidTr="00FA403F">
        <w:trPr>
          <w:trHeight w:val="12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4D539DB3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NOMBRE DEL PROYECTO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1BD5B485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 xml:space="preserve">FUENTE DE FINANCIAMIENTO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07B19A5" w14:textId="36A132AB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INGRESOS RECIBIDOS DEL AÑO 202</w:t>
            </w:r>
            <w:r w:rsidR="00D27162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4</w:t>
            </w: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 xml:space="preserve"> (PESOS)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D93CC26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proofErr w:type="gramStart"/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STATUS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6A0B955C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% DE AVANCE FINANCIERO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96DD62B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RESPONSABLE</w:t>
            </w:r>
          </w:p>
        </w:tc>
      </w:tr>
      <w:tr w:rsidR="003F2905" w:rsidRPr="00ED52FA" w14:paraId="4EF7AE22" w14:textId="77777777" w:rsidTr="00FA403F">
        <w:trPr>
          <w:trHeight w:val="30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F859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495E" w14:textId="77777777" w:rsidR="007E6045" w:rsidRPr="00ED52FA" w:rsidRDefault="007E6045" w:rsidP="00283F8D">
            <w:pPr>
              <w:autoSpaceDE/>
              <w:autoSpaceDN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8F96" w14:textId="77777777" w:rsidR="007E6045" w:rsidRPr="00ED52FA" w:rsidRDefault="007E6045" w:rsidP="00283F8D">
            <w:pPr>
              <w:autoSpaceDE/>
              <w:autoSpaceDN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51AC" w14:textId="77777777" w:rsidR="007E6045" w:rsidRPr="00ED52FA" w:rsidRDefault="007E6045" w:rsidP="00283F8D">
            <w:pPr>
              <w:autoSpaceDE/>
              <w:autoSpaceDN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07C7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4464" w14:textId="77777777" w:rsidR="007E6045" w:rsidRPr="00ED52FA" w:rsidRDefault="007E6045" w:rsidP="00283F8D">
            <w:pPr>
              <w:autoSpaceDE/>
              <w:autoSpaceDN/>
              <w:jc w:val="center"/>
              <w:rPr>
                <w:rFonts w:ascii="Montserrat" w:hAnsi="Montserrat"/>
                <w:lang w:val="es-MX" w:eastAsia="es-MX"/>
              </w:rPr>
            </w:pPr>
          </w:p>
        </w:tc>
      </w:tr>
      <w:tr w:rsidR="00ED52FA" w:rsidRPr="00ED52FA" w14:paraId="2DF41AA6" w14:textId="77777777" w:rsidTr="00FA403F">
        <w:trPr>
          <w:trHeight w:val="461"/>
        </w:trPr>
        <w:tc>
          <w:tcPr>
            <w:tcW w:w="4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75A3BAA0" w14:textId="31CD8836" w:rsidR="0055603F" w:rsidRPr="00ED52FA" w:rsidRDefault="0055603F" w:rsidP="00556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FONDOS INSTITUCIONALES</w:t>
            </w:r>
          </w:p>
        </w:tc>
        <w:tc>
          <w:tcPr>
            <w:tcW w:w="2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253B7507" w14:textId="34EF3CE9" w:rsidR="0055603F" w:rsidRPr="00ED52FA" w:rsidRDefault="0055603F" w:rsidP="00556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75054C68" w14:textId="4A178AF3" w:rsidR="0055603F" w:rsidRPr="00ED52FA" w:rsidRDefault="00FA403F" w:rsidP="00556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FA403F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10,185,174.70</w:t>
            </w:r>
          </w:p>
        </w:tc>
        <w:tc>
          <w:tcPr>
            <w:tcW w:w="13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67511AD4" w14:textId="034C9266" w:rsidR="0055603F" w:rsidRPr="00ED52FA" w:rsidRDefault="0055603F" w:rsidP="00556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4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2D7F2A55" w14:textId="2B9905A2" w:rsidR="0055603F" w:rsidRPr="00ED52FA" w:rsidRDefault="0055603F" w:rsidP="00556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21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bottom"/>
          </w:tcPr>
          <w:p w14:paraId="0287C744" w14:textId="2879E2A2" w:rsidR="0055603F" w:rsidRPr="00ED52FA" w:rsidRDefault="0055603F" w:rsidP="00556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</w:tr>
      <w:tr w:rsidR="00FA403F" w:rsidRPr="00ED52FA" w14:paraId="6A6265AD" w14:textId="77777777" w:rsidTr="00FA403F">
        <w:trPr>
          <w:trHeight w:val="17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2CD3" w14:textId="09174576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Abejas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colectiva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apicultoras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apicultores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diversidad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biocultural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península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Yucatán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regímenes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socioambientales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equitativos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sostenibles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4EF4" w14:textId="5CD069C1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B83E" w14:textId="4275F030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1,328,000.00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CE95" w14:textId="418C3F3F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FC79" w14:textId="3C633D9C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9FB2" w14:textId="463F6ED3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López Leopoldo Caridad</w:t>
            </w:r>
          </w:p>
        </w:tc>
      </w:tr>
      <w:tr w:rsidR="00FA403F" w:rsidRPr="00ED52FA" w14:paraId="2F391EB2" w14:textId="77777777" w:rsidTr="00FA403F">
        <w:trPr>
          <w:trHeight w:val="928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C6D0" w14:textId="0A8B76BD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Sistemas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socioecológicos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sustentables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cafetaleros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sureste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México,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D966" w14:textId="2356DB39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Ciencia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Tecnología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(CONACYT).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14F7" w14:textId="5624D3C7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2BAE" w14:textId="5DDD4A5D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BE41" w14:textId="0D7AC028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89D2" w14:textId="392A875D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der Wal Johannes Cornelis</w:t>
            </w:r>
          </w:p>
        </w:tc>
      </w:tr>
      <w:tr w:rsidR="00FA403F" w:rsidRPr="00ED52FA" w14:paraId="51BDCB8C" w14:textId="77777777" w:rsidTr="005302A1">
        <w:trPr>
          <w:trHeight w:val="9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7199" w14:textId="2F97C38B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Rescate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mejoramiento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participativo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agroecológicas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tradicionales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carne y leche de las regiones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tropical de México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mejorar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abasto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alimentos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calidad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campesinas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vulnerable         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D9BD" w14:textId="6C356D48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1BB9" w14:textId="58AE4F6D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159,223.20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6FFB" w14:textId="3229F492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DFFA" w14:textId="0E985511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53F5" w14:textId="0504205B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Nahed Toral José</w:t>
            </w:r>
          </w:p>
        </w:tc>
      </w:tr>
      <w:tr w:rsidR="00FA403F" w:rsidRPr="00ED52FA" w14:paraId="3EC1BFF3" w14:textId="77777777" w:rsidTr="00FA403F">
        <w:trPr>
          <w:trHeight w:val="9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A946" w14:textId="0A59F8DC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Monitoreo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seguimiento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potenciales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dispersión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transgénicas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residuos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herbicidas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maíz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derivados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soberanía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alimentaria,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ambiental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México.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E674" w14:textId="38ACD36F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CONAHCYT-PRONACES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CC15" w14:textId="5938160D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392,132.50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F03C" w14:textId="57B2CA90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06E2" w14:textId="0111C7FD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0B2D" w14:textId="2231E7F0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Vandame Remy</w:t>
            </w:r>
          </w:p>
        </w:tc>
      </w:tr>
      <w:tr w:rsidR="00FA403F" w:rsidRPr="00ED52FA" w14:paraId="0A7DFB99" w14:textId="77777777" w:rsidTr="00FA403F">
        <w:trPr>
          <w:trHeight w:val="9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184C" w14:textId="6F9BB069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Moderación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paisaje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biodiversidad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contribución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ecológica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paisaje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E351" w14:textId="42CBA9C3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84BF" w14:textId="1A3C7895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8A00" w14:textId="1CEA9E55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EA15" w14:textId="6FC8F12D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F76D" w14:textId="0AD9446F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Maza Villalobos Méndez Susana</w:t>
            </w:r>
          </w:p>
        </w:tc>
      </w:tr>
      <w:tr w:rsidR="00FA403F" w:rsidRPr="00ED52FA" w14:paraId="15DD5ABE" w14:textId="77777777" w:rsidTr="005302A1">
        <w:trPr>
          <w:trHeight w:val="12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4491" w14:textId="4C231E2E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Jardín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etnobiológico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selvas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soconusco:propuesta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jardín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botánico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regional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soconusco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(ECO-TAP-JB)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(ECO-TA-H). Tercera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363B" w14:textId="7A49ABF7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CONAHCYT-PRONACES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612F" w14:textId="77571A17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2,003,000.00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0358" w14:textId="6390CBD4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1473" w14:textId="44E87E60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4336" w14:textId="2644F41B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Damon Anne Ashby</w:t>
            </w:r>
          </w:p>
        </w:tc>
      </w:tr>
      <w:tr w:rsidR="00FA403F" w:rsidRPr="00ED52FA" w14:paraId="028F17C1" w14:textId="77777777" w:rsidTr="005302A1">
        <w:trPr>
          <w:trHeight w:val="12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45F99" w14:textId="3E55715F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Virus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plantas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residuales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superficiales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¿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Indicadores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calidad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amenazas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? Etapa 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2A93" w14:textId="6EEB20E0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39DE" w14:textId="4D5929A2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EC24" w14:textId="709F1A38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E989" w14:textId="22BDC58A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F90C" w14:textId="655007E3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Guillén Navarro Griselda Karina</w:t>
            </w:r>
          </w:p>
        </w:tc>
      </w:tr>
      <w:tr w:rsidR="00FA403F" w:rsidRPr="00ED52FA" w14:paraId="76EFA9AF" w14:textId="77777777" w:rsidTr="005302A1">
        <w:trPr>
          <w:trHeight w:val="12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0B26" w14:textId="4A4B779D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Plataforma multi-actor para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democratización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energética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iniciativas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economía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social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solidaria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comunidades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rurales-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urbanas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Tabasco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87F2" w14:textId="4C38AE4E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Ciencia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Tecnología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(CONACYT)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4945" w14:textId="3583D23C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1,330,069.00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CDBB" w14:textId="1D2510DB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6DD3" w14:textId="320458DB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3143" w14:textId="6BD1A558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Der Wal Johannes Cornelis</w:t>
            </w:r>
          </w:p>
        </w:tc>
      </w:tr>
      <w:tr w:rsidR="00FA403F" w:rsidRPr="00ED52FA" w14:paraId="46F3E1AF" w14:textId="77777777" w:rsidTr="005302A1">
        <w:trPr>
          <w:trHeight w:val="12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9050" w14:textId="64C10E5D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impacto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megaproyectos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sistemas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socioecológicos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perspectiva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transdisciplinaria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integral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maya.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4313" w14:textId="6D270957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Ciencia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Tecnología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(CONA</w:t>
            </w:r>
            <w:r w:rsidR="008F569D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0CF6" w14:textId="03BF41DE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2A22" w14:textId="5B4E9E90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425A" w14:textId="7225EE00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D5508" w14:textId="34286139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Díaz Perera Miguel Ángel</w:t>
            </w:r>
          </w:p>
        </w:tc>
      </w:tr>
      <w:tr w:rsidR="00FA403F" w:rsidRPr="00ED52FA" w14:paraId="33F4DE75" w14:textId="77777777" w:rsidTr="005302A1">
        <w:trPr>
          <w:trHeight w:val="12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BEE2" w14:textId="0C269EDA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Feminicidios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mujeres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Sureste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mexicano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A271" w14:textId="40A8CE30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A7B0" w14:textId="26FADBBC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CE3A" w14:textId="00CC7C0A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3EE4" w14:textId="3FBF3CB6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9708" w14:textId="2688EAFC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Cortés Gabriela</w:t>
            </w:r>
          </w:p>
        </w:tc>
      </w:tr>
      <w:tr w:rsidR="00FA403F" w:rsidRPr="00ED52FA" w14:paraId="6BF8CB65" w14:textId="77777777" w:rsidTr="00FA403F">
        <w:trPr>
          <w:trHeight w:val="1500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E2B1" w14:textId="6DAB94D2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Transiciones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epidemiológicas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sucesivo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esenciales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disrupciones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poblaciones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agrícolas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Sur-Sur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9EEE" w14:textId="6A791CDF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E940" w14:textId="43557619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222,750.00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1F75" w14:textId="40A063D1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91DD" w14:textId="64220E62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49445" w14:textId="098EAE0E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García Ortega Martha</w:t>
            </w:r>
          </w:p>
        </w:tc>
      </w:tr>
      <w:tr w:rsidR="00FA403F" w:rsidRPr="00ED52FA" w14:paraId="3503A50A" w14:textId="77777777" w:rsidTr="00FA403F">
        <w:trPr>
          <w:trHeight w:val="9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C19A" w14:textId="41B80A81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Efecto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transición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comprada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 en lo microbiota intestinal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metabolismo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36 meses en zonas rurales de Yucatán.    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F79B" w14:textId="4C77D246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Consejo Nacional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Humanidades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Tecnologías (CONAHCYT).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B3CD" w14:textId="2BCAB859" w:rsidR="00FA403F" w:rsidRPr="00ED52FA" w:rsidRDefault="00FA403F" w:rsidP="00FA403F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225,000.00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85AE" w14:textId="1B0EFDE9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459E" w14:textId="292F8360" w:rsidR="00FA403F" w:rsidRPr="00ED52FA" w:rsidRDefault="00FA403F" w:rsidP="00FA403F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9D55" w14:textId="1ECFC867" w:rsidR="00FA403F" w:rsidRPr="00ED52FA" w:rsidRDefault="00FA403F" w:rsidP="00FA403F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Gurri García Francisco Delfín</w:t>
            </w:r>
          </w:p>
        </w:tc>
      </w:tr>
    </w:tbl>
    <w:p w14:paraId="2D13027F" w14:textId="77777777" w:rsidR="007E6045" w:rsidRDefault="007E6045" w:rsidP="007E6045">
      <w:pPr>
        <w:rPr>
          <w:rFonts w:asciiTheme="minorHAnsi" w:hAnsiTheme="minorHAnsi"/>
          <w:b/>
        </w:rPr>
      </w:pPr>
    </w:p>
    <w:tbl>
      <w:tblPr>
        <w:tblW w:w="13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4"/>
        <w:gridCol w:w="2773"/>
        <w:gridCol w:w="1440"/>
        <w:gridCol w:w="1327"/>
        <w:gridCol w:w="1472"/>
        <w:gridCol w:w="2164"/>
      </w:tblGrid>
      <w:tr w:rsidR="00D27162" w:rsidRPr="00ED52FA" w14:paraId="400510DE" w14:textId="77777777" w:rsidTr="00EE69A4">
        <w:trPr>
          <w:trHeight w:val="12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932F6BF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NOMBRE DEL PROYECTO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330DB6B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 xml:space="preserve">FUENTE DE FINANCIAMIENTO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45E9680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INGRESOS RECIBIDOS DEL AÑO 2023 (PESOS)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2BC08571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proofErr w:type="gramStart"/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STATUS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13CC0AD5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% DE AVANCE FINANCIERO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15C84B7F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RESPONSABLE</w:t>
            </w:r>
          </w:p>
        </w:tc>
      </w:tr>
      <w:tr w:rsidR="00D27162" w:rsidRPr="00ED52FA" w14:paraId="2C61AD65" w14:textId="77777777" w:rsidTr="00EE69A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4E44D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14AC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0D4E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3F076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CE390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/>
                <w:lang w:val="es-MX" w:eastAsia="es-MX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2FF88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/>
                <w:lang w:val="es-MX" w:eastAsia="es-MX"/>
              </w:rPr>
            </w:pPr>
          </w:p>
        </w:tc>
      </w:tr>
      <w:tr w:rsidR="00D27162" w:rsidRPr="00ED52FA" w14:paraId="3C206FC9" w14:textId="77777777" w:rsidTr="00EE69A4">
        <w:trPr>
          <w:trHeight w:val="49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3A45BCE1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FONDOS SECTORIALES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206BDEA1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654886A0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166,859.00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2A61948C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7C8C9253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bottom"/>
          </w:tcPr>
          <w:p w14:paraId="37D687B1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</w:tr>
      <w:tr w:rsidR="00D27162" w:rsidRPr="00ED52FA" w14:paraId="4D74F497" w14:textId="77777777" w:rsidTr="00EE69A4">
        <w:trPr>
          <w:trHeight w:val="7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4DBB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Estudio de la ecología sensorial del picudo de la soya (rhyssomatus nigerrimus fahraeus)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E55C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Fondo Sectorial SEP-CONAHCYT-INIFAP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FE1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166,859.00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6BF8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C988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7</w:t>
            </w:r>
            <w:r>
              <w:rPr>
                <w:rFonts w:ascii="Montserrat" w:hAnsi="Montserrat" w:cs="Calibri"/>
                <w:color w:val="000000"/>
                <w:lang w:val="es-MX" w:eastAsia="es-MX"/>
              </w:rPr>
              <w:t>1</w:t>
            </w: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4857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Cruz López Leopoldo Caridad</w:t>
            </w:r>
          </w:p>
        </w:tc>
      </w:tr>
      <w:tr w:rsidR="00D27162" w:rsidRPr="00ED52FA" w14:paraId="2EE71606" w14:textId="77777777" w:rsidTr="00EE69A4">
        <w:trPr>
          <w:trHeight w:val="461"/>
        </w:trPr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D82D88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  <w:p w14:paraId="72578ABA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1F6FC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1CED4C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86EF2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554128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B1967D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</w:pPr>
          </w:p>
        </w:tc>
      </w:tr>
      <w:tr w:rsidR="00D27162" w:rsidRPr="00ED52FA" w14:paraId="485B2E8C" w14:textId="77777777" w:rsidTr="00EE69A4">
        <w:trPr>
          <w:trHeight w:val="461"/>
        </w:trPr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7244AB22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FONDOS INSTITUCIONALES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4F66381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1F823381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13,114,399.50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60FEA657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</w:tcPr>
          <w:p w14:paraId="24404694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  <w:tc>
          <w:tcPr>
            <w:tcW w:w="2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bottom"/>
          </w:tcPr>
          <w:p w14:paraId="50E04F9E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b/>
                <w:bCs/>
                <w:color w:val="FFFFFF"/>
                <w:lang w:val="es-MX" w:eastAsia="es-MX"/>
              </w:rPr>
              <w:t> </w:t>
            </w:r>
          </w:p>
        </w:tc>
      </w:tr>
      <w:tr w:rsidR="00D27162" w:rsidRPr="00ED52FA" w14:paraId="20448EFB" w14:textId="77777777" w:rsidTr="008F569D">
        <w:trPr>
          <w:trHeight w:val="18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C01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Programa de salud ambiental para la disminución de las desigualdades socioambientales derivadas de la exposición a contaminantes en la región de Coatzacoalcos-</w:t>
            </w:r>
            <w:proofErr w:type="spellStart"/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Minatitlan</w:t>
            </w:r>
            <w:proofErr w:type="spellEnd"/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-</w:t>
            </w:r>
            <w:proofErr w:type="spellStart"/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Jaltipan</w:t>
            </w:r>
            <w:proofErr w:type="spellEnd"/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 xml:space="preserve"> de Morelos, Veracruz.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C8D2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Consejo Nacional de Humanidades Ciencia y Tecnologías (CONAHCYT).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273C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4,672,000.00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07E1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2FD6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6</w:t>
            </w:r>
            <w:r>
              <w:rPr>
                <w:rFonts w:ascii="Montserrat" w:hAnsi="Montserrat" w:cs="Calibri"/>
                <w:color w:val="000000"/>
                <w:lang w:val="es-MX" w:eastAsia="es-MX"/>
              </w:rPr>
              <w:t>9</w:t>
            </w: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A3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Torres Dosal Arturo</w:t>
            </w:r>
          </w:p>
        </w:tc>
      </w:tr>
      <w:tr w:rsidR="00D27162" w:rsidRPr="00ED52FA" w14:paraId="05B85E26" w14:textId="77777777" w:rsidTr="008F569D">
        <w:trPr>
          <w:trHeight w:val="18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E9B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lastRenderedPageBreak/>
              <w:t>Abejas y territorios: fortalecimiento de la acción colectiva de apicultoras y apicultores en territorios con diversidad biocultural de la península de Yucatán para transitar hacia regímenes socioambientales más equitativos y sostenibles.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55B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Consejo Nacional de Humanidades Ciencia y Tecnologías (CONAHCYT).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4FA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1,328,000.00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5DC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6FF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5</w:t>
            </w:r>
            <w:r>
              <w:rPr>
                <w:rFonts w:ascii="Montserrat" w:hAnsi="Montserrat" w:cs="Calibri"/>
                <w:color w:val="000000"/>
                <w:lang w:val="es-MX" w:eastAsia="es-MX"/>
              </w:rPr>
              <w:t>8</w:t>
            </w: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8D1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Vandame Remy Benoit Marie</w:t>
            </w:r>
          </w:p>
        </w:tc>
      </w:tr>
      <w:tr w:rsidR="00D27162" w:rsidRPr="00ED52FA" w14:paraId="01422F68" w14:textId="77777777" w:rsidTr="00FA403F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19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 xml:space="preserve">Sistemas socioecológicos sustentables en territorios cafetaleros del sureste de México, segunda fase.  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FF6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Consejo Nacional de Humanidades Ciencia y Tecnologías (CONAHCYT).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F38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2,000,000.00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50A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779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72%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ACE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Soto Pinto María Lorena</w:t>
            </w:r>
          </w:p>
        </w:tc>
      </w:tr>
      <w:tr w:rsidR="00D27162" w:rsidRPr="00ED52FA" w14:paraId="34611421" w14:textId="77777777" w:rsidTr="00EE69A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F98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Rescate y mejoramiento participativo de prácticas agroecológicas tradicionales de producción de carne y leche de las regiones de clima tropical de México para mejorar el auto abasto de alimentos de calidad de las familias campesinas vulnerable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302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Consejo Nacional de Humanidades, Ciencias y Tecnologías (CONAHCYT).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45B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355,000.00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C7A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0DC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47%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7EA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Nahed Toral José</w:t>
            </w:r>
          </w:p>
        </w:tc>
      </w:tr>
      <w:tr w:rsidR="00D27162" w:rsidRPr="00ED52FA" w14:paraId="617997CF" w14:textId="77777777" w:rsidTr="00EE69A4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1B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 xml:space="preserve">Influencia de la infección por trypanosoma cruzi en la comunicación intra-específica de chinches chagasicas: un primer paso hacia la prevención de la enfermedad de Chagas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67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 xml:space="preserve">UNAM- CONAHCYT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599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200,000.00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FCF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F01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6</w:t>
            </w:r>
            <w:r>
              <w:rPr>
                <w:rFonts w:ascii="Montserrat" w:hAnsi="Montserrat" w:cs="Calibri"/>
                <w:color w:val="000000"/>
                <w:lang w:val="es-MX" w:eastAsia="es-MX"/>
              </w:rPr>
              <w:t>1</w:t>
            </w: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4EE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Cruz López Leopoldo Caridad</w:t>
            </w:r>
          </w:p>
        </w:tc>
      </w:tr>
      <w:tr w:rsidR="00D27162" w:rsidRPr="00ED52FA" w14:paraId="0A714203" w14:textId="77777777" w:rsidTr="00EE69A4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8E1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Plataforma multi-actor para la democratización energética desde iniciativas de economía social y solidaria en comunidades rurales-urbanas en Tabasco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9B2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Consejo Nacional de Humanidades, Ciencias y Tecnologías (CONAHCYT).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713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2,012,972.00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604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9CC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80%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1A2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Van Der Wal Johannes Cornelis</w:t>
            </w:r>
            <w:r w:rsidRPr="00ED52FA">
              <w:rPr>
                <w:rFonts w:ascii="Montserrat" w:hAnsi="Montserrat"/>
              </w:rPr>
              <w:t xml:space="preserve"> </w:t>
            </w:r>
          </w:p>
        </w:tc>
      </w:tr>
      <w:tr w:rsidR="00D27162" w:rsidRPr="00ED52FA" w14:paraId="508B7BD8" w14:textId="77777777" w:rsidTr="008F569D">
        <w:trPr>
          <w:trHeight w:val="15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C5F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El impacto de megaproyectos en sistemas socioecológicos desde una perspectiva transdisciplinaria: el programa de desarrollo integral en los territorios del tren maya.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396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Consejo Nacional de Humanidades, Ciencias y Tecnologías (CONAHCYT).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1D8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2,000,000.00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B27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F48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</w:p>
          <w:p w14:paraId="05005E60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5</w:t>
            </w:r>
            <w:r>
              <w:rPr>
                <w:rFonts w:ascii="Montserrat" w:hAnsi="Montserrat" w:cs="Calibri"/>
                <w:color w:val="000000"/>
                <w:lang w:val="es-MX" w:eastAsia="es-MX"/>
              </w:rPr>
              <w:t>6</w:t>
            </w: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E08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 xml:space="preserve">Díaz Perera Miguel Ángel  </w:t>
            </w:r>
          </w:p>
        </w:tc>
      </w:tr>
      <w:tr w:rsidR="00D27162" w:rsidRPr="00ED52FA" w14:paraId="1F0501A0" w14:textId="77777777" w:rsidTr="008F569D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FE3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lastRenderedPageBreak/>
              <w:t>Ecohidrología para la sustentabilidad y gobernanza del agua y cuencas para el bien común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8F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CONAHCYT - Universidad Autónoma de Querétaro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90A" w14:textId="77777777" w:rsidR="00D27162" w:rsidRPr="00ED52FA" w:rsidRDefault="00D27162" w:rsidP="00EE69A4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495,600.00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AA6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03A" w14:textId="77777777" w:rsidR="00D27162" w:rsidRPr="00ED52FA" w:rsidRDefault="00D27162" w:rsidP="00EE69A4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54%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674" w14:textId="77777777" w:rsidR="00D27162" w:rsidRPr="00ED52FA" w:rsidRDefault="00D27162" w:rsidP="00EE69A4">
            <w:pPr>
              <w:autoSpaceDE/>
              <w:autoSpaceDN/>
              <w:rPr>
                <w:rFonts w:ascii="Montserrat" w:hAnsi="Montserrat" w:cs="Calibri"/>
                <w:color w:val="000000"/>
                <w:lang w:val="es-MX" w:eastAsia="es-MX"/>
              </w:rPr>
            </w:pPr>
            <w:r w:rsidRPr="00ED52FA">
              <w:rPr>
                <w:rFonts w:ascii="Montserrat" w:hAnsi="Montserrat" w:cs="Calibri"/>
                <w:color w:val="000000"/>
                <w:lang w:val="es-MX" w:eastAsia="es-MX"/>
              </w:rPr>
              <w:t>Barba Macías Everardo</w:t>
            </w:r>
          </w:p>
        </w:tc>
      </w:tr>
    </w:tbl>
    <w:p w14:paraId="0A719372" w14:textId="624FDDCE" w:rsidR="00F449D7" w:rsidRDefault="00F449D7" w:rsidP="00B62FD1">
      <w:pP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fldChar w:fldCharType="begin"/>
      </w:r>
      <w:r>
        <w:instrText xml:space="preserve"> LINK </w:instrText>
      </w:r>
      <w:r w:rsidR="00F55B05">
        <w:instrText xml:space="preserve">Excel.Sheet.12 "F:\\Junta de organo de Gobierno\\Informe Junta de Gobierno ENE-JUN 2022\\hoja de trabajo\\Proyectos 2020a2021 ene-jun 2022.xlsx" "proy 2021-2022!F3C2:F16C7" </w:instrText>
      </w:r>
      <w:r>
        <w:instrText xml:space="preserve">\a \f 4 \h </w:instrText>
      </w:r>
      <w:r w:rsidR="005C2FFC">
        <w:instrText xml:space="preserve"> \* MERGEFORMAT </w:instrText>
      </w:r>
      <w:r>
        <w:fldChar w:fldCharType="separate"/>
      </w:r>
    </w:p>
    <w:p w14:paraId="26DAC74E" w14:textId="57001695" w:rsidR="00B62FD1" w:rsidRDefault="00F449D7" w:rsidP="00B62F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end"/>
      </w:r>
    </w:p>
    <w:p w14:paraId="396F43A5" w14:textId="77777777" w:rsidR="00451B62" w:rsidRDefault="00451B62" w:rsidP="00B62FD1">
      <w:pPr>
        <w:rPr>
          <w:rFonts w:asciiTheme="minorHAnsi" w:hAnsiTheme="minorHAnsi"/>
          <w:b/>
        </w:rPr>
      </w:pPr>
    </w:p>
    <w:p w14:paraId="139370E1" w14:textId="77777777" w:rsidR="00477920" w:rsidRPr="00691FEA" w:rsidRDefault="00477920" w:rsidP="00477920">
      <w:pPr>
        <w:pStyle w:val="Prrafodelista"/>
        <w:numPr>
          <w:ilvl w:val="0"/>
          <w:numId w:val="5"/>
        </w:numPr>
        <w:rPr>
          <w:rFonts w:ascii="Montserrat" w:hAnsi="Montserrat"/>
          <w:b/>
          <w:sz w:val="20"/>
          <w:szCs w:val="20"/>
        </w:rPr>
      </w:pPr>
      <w:r w:rsidRPr="00691FEA">
        <w:rPr>
          <w:rFonts w:ascii="Montserrat" w:hAnsi="Montserrat"/>
          <w:b/>
          <w:sz w:val="20"/>
          <w:szCs w:val="20"/>
        </w:rPr>
        <w:t>Relación de proyectos de infraestructura concluidos</w:t>
      </w:r>
    </w:p>
    <w:p w14:paraId="1A5E3597" w14:textId="77777777" w:rsidR="00477920" w:rsidRPr="00691FEA" w:rsidRDefault="00477920" w:rsidP="00477920">
      <w:pPr>
        <w:pStyle w:val="Prrafodelista"/>
        <w:ind w:left="1428"/>
        <w:rPr>
          <w:rFonts w:ascii="Montserrat" w:hAnsi="Montserrat"/>
          <w:sz w:val="20"/>
          <w:szCs w:val="20"/>
        </w:rPr>
      </w:pPr>
    </w:p>
    <w:p w14:paraId="2B3AB122" w14:textId="5334B31E" w:rsidR="00477920" w:rsidRPr="00691FEA" w:rsidRDefault="00477920" w:rsidP="00477920">
      <w:pPr>
        <w:pStyle w:val="Prrafodelista"/>
        <w:ind w:left="1428"/>
        <w:rPr>
          <w:rFonts w:ascii="Montserrat" w:hAnsi="Montserrat"/>
          <w:sz w:val="20"/>
          <w:szCs w:val="20"/>
        </w:rPr>
      </w:pPr>
      <w:r w:rsidRPr="00691FEA">
        <w:rPr>
          <w:rFonts w:ascii="Montserrat" w:hAnsi="Montserrat"/>
          <w:sz w:val="20"/>
          <w:szCs w:val="20"/>
        </w:rPr>
        <w:t>Durante el primer semestre 202</w:t>
      </w:r>
      <w:r w:rsidR="00EF08C5">
        <w:rPr>
          <w:rFonts w:ascii="Montserrat" w:hAnsi="Montserrat"/>
          <w:sz w:val="20"/>
          <w:szCs w:val="20"/>
        </w:rPr>
        <w:t>4</w:t>
      </w:r>
      <w:r w:rsidRPr="00691FEA">
        <w:rPr>
          <w:rFonts w:ascii="Montserrat" w:hAnsi="Montserrat"/>
          <w:sz w:val="20"/>
          <w:szCs w:val="20"/>
        </w:rPr>
        <w:t xml:space="preserve"> no se cuenta con proyectos de infraestructura concluidos.</w:t>
      </w:r>
    </w:p>
    <w:p w14:paraId="05AA1F93" w14:textId="2FD87CDA" w:rsidR="00477920" w:rsidRPr="00691FEA" w:rsidRDefault="00477920" w:rsidP="00477920">
      <w:pPr>
        <w:rPr>
          <w:rFonts w:ascii="Montserrat" w:hAnsi="Montserrat"/>
          <w:b/>
          <w:lang w:val="es-MX"/>
        </w:rPr>
      </w:pPr>
    </w:p>
    <w:p w14:paraId="5E1D09D9" w14:textId="77777777" w:rsidR="00F449D7" w:rsidRPr="00691FEA" w:rsidRDefault="00F449D7" w:rsidP="00477920">
      <w:pPr>
        <w:rPr>
          <w:rFonts w:ascii="Montserrat" w:hAnsi="Montserrat"/>
          <w:b/>
          <w:lang w:val="es-MX"/>
        </w:rPr>
      </w:pPr>
    </w:p>
    <w:p w14:paraId="6A8A030C" w14:textId="77777777" w:rsidR="00477920" w:rsidRPr="00691FEA" w:rsidRDefault="00477920" w:rsidP="00477920">
      <w:pPr>
        <w:pStyle w:val="Prrafodelista"/>
        <w:numPr>
          <w:ilvl w:val="0"/>
          <w:numId w:val="5"/>
        </w:numPr>
        <w:rPr>
          <w:rFonts w:ascii="Montserrat" w:hAnsi="Montserrat"/>
          <w:b/>
          <w:sz w:val="20"/>
          <w:szCs w:val="20"/>
        </w:rPr>
      </w:pPr>
      <w:r w:rsidRPr="00691FEA">
        <w:rPr>
          <w:rFonts w:ascii="Montserrat" w:hAnsi="Montserrat"/>
          <w:b/>
          <w:sz w:val="20"/>
          <w:szCs w:val="20"/>
        </w:rPr>
        <w:t xml:space="preserve">Relación de Proyectos Sustantivos apoyados en proceso </w:t>
      </w:r>
    </w:p>
    <w:p w14:paraId="6E0809F9" w14:textId="77777777" w:rsidR="00477920" w:rsidRDefault="00477920" w:rsidP="00477920">
      <w:pPr>
        <w:rPr>
          <w:rFonts w:asciiTheme="minorHAnsi" w:hAnsiTheme="minorHAnsi"/>
          <w:b/>
        </w:rPr>
      </w:pPr>
    </w:p>
    <w:p w14:paraId="440176FF" w14:textId="77777777" w:rsidR="00477920" w:rsidRPr="00477920" w:rsidRDefault="00477920" w:rsidP="00477920">
      <w:pPr>
        <w:rPr>
          <w:rFonts w:asciiTheme="minorHAnsi" w:hAnsiTheme="minorHAnsi"/>
          <w:b/>
        </w:rPr>
      </w:pPr>
    </w:p>
    <w:tbl>
      <w:tblPr>
        <w:tblW w:w="1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42"/>
        <w:gridCol w:w="1416"/>
        <w:gridCol w:w="1412"/>
        <w:gridCol w:w="1202"/>
        <w:gridCol w:w="1439"/>
        <w:gridCol w:w="1339"/>
        <w:gridCol w:w="1641"/>
      </w:tblGrid>
      <w:tr w:rsidR="00477920" w:rsidRPr="00ED52FA" w14:paraId="479D41C0" w14:textId="77777777" w:rsidTr="00BB3C35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44930B1E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NOMBRE DEL PROYECTO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81E5125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FUENTE DE FINANCIAMIENTO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1E1BCAB7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RECURSOS RECIBIDOS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2B3C92E4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RECURSOS EJERCIDOS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4DDC0873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FECHA DE INICIO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0D3CF288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FECHA ESTIMADA DE CONCLUSIÓN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630FB35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% DE AVANCE FINANCIERO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0221C1C" w14:textId="77777777" w:rsidR="00477920" w:rsidRPr="00ED52FA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D52FA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RESPONSABLE</w:t>
            </w:r>
          </w:p>
        </w:tc>
      </w:tr>
      <w:tr w:rsidR="00EF08C5" w:rsidRPr="00ED52FA" w14:paraId="059D8D45" w14:textId="77777777" w:rsidTr="00AA29B3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7CB" w14:textId="3A50AE9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investigación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evaluativa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pertinencia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cultural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enfoque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graduación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estados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Chiapas y Yucatán, México.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110" w14:textId="4447A4E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Trickle Up Las Americas (TUA)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8A4" w14:textId="70C9EFF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1,906,746.88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9FA7" w14:textId="0E090CE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1,826,165.72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580" w14:textId="2C99234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01/07/2019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934F" w14:textId="09EBF4A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31/12/2021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EF14" w14:textId="3C16511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96%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A0A4" w14:textId="3F309FD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Salvatierra Izaba Ernesto Benito</w:t>
            </w:r>
          </w:p>
        </w:tc>
      </w:tr>
      <w:tr w:rsidR="00EF08C5" w:rsidRPr="00ED52FA" w14:paraId="156BC65E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3CE" w14:textId="0B8D68D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Análisis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expresión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nivel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metilación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genes ins, </w:t>
            </w:r>
            <w:proofErr w:type="spellStart"/>
            <w:r>
              <w:rPr>
                <w:rFonts w:ascii="Calibri" w:hAnsi="Calibri" w:cs="Calibri"/>
                <w:color w:val="000000"/>
              </w:rPr>
              <w:t>adipoq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fto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su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asociación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microbiota intestinal y </w:t>
            </w:r>
            <w:proofErr w:type="spellStart"/>
            <w:r>
              <w:rPr>
                <w:rFonts w:ascii="Calibri" w:hAnsi="Calibri" w:cs="Calibri"/>
                <w:color w:val="000000"/>
              </w:rPr>
              <w:t>síndrome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metabólico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adolescentes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zonas </w:t>
            </w:r>
            <w:proofErr w:type="spellStart"/>
            <w:r>
              <w:rPr>
                <w:rFonts w:ascii="Calibri" w:hAnsi="Calibri" w:cs="Calibri"/>
                <w:color w:val="000000"/>
              </w:rPr>
              <w:t>marginadas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Chiapas.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C11B" w14:textId="4AFCBC4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Biocodex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Microbiota Foundation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64A" w14:textId="0C41297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597,357.31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2150" w14:textId="3AE0F73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536,290.80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EF3F" w14:textId="4770CA7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29/11/2021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4764" w14:textId="4D13ABB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726A" w14:textId="06AE803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10FE" w14:textId="6F7897F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Ochoa Díaz-López Héctor</w:t>
            </w:r>
          </w:p>
        </w:tc>
      </w:tr>
      <w:tr w:rsidR="00EF08C5" w:rsidRPr="00ED52FA" w14:paraId="458E6181" w14:textId="77777777" w:rsidTr="00E07E43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719" w14:textId="5CD0C3E4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Alianzas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corazonamiento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agroecología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27B5" w14:textId="4FF7ED9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Fundacion Kellogg.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444" w14:textId="63783D1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1,795,727.82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A04D" w14:textId="16CD565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1,178,980.56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B4BD" w14:textId="0069BE9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01/05/2022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FC9" w14:textId="73C23A3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31/10/2024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5DC" w14:textId="7D403E2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2F0" w14:textId="249C3A4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Morales Helda Eleonora de Guadalupe</w:t>
            </w:r>
          </w:p>
        </w:tc>
      </w:tr>
      <w:tr w:rsidR="00EF08C5" w:rsidRPr="00ED52FA" w14:paraId="25DD8033" w14:textId="77777777" w:rsidTr="00E07E43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767F" w14:textId="756201E2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Maestria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latinoamericana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agroecología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base.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770" w14:textId="4BEF210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Center For </w:t>
            </w:r>
            <w:proofErr w:type="gramStart"/>
            <w:r>
              <w:rPr>
                <w:rFonts w:ascii="Calibri" w:hAnsi="Calibri" w:cs="Calibri"/>
                <w:color w:val="000000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Study Of The Americas (CENSA)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9175" w14:textId="5E76AC3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742,536.15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A50" w14:textId="09B9749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723,815.13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4615" w14:textId="18756C6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01/06/2022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79C1" w14:textId="6BCB4E8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D10F" w14:textId="71907EF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98%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E29" w14:textId="4F638F3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Ferguson Bruce Gordon</w:t>
            </w:r>
          </w:p>
        </w:tc>
      </w:tr>
      <w:tr w:rsidR="00EF08C5" w:rsidRPr="00ED52FA" w14:paraId="49AD8265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FC92" w14:textId="2FD1FE67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Investigación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colaborativa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multiactor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avanzar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transformación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alimentarios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(IPA-LAC).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30ED" w14:textId="2619837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Global </w:t>
            </w:r>
            <w:proofErr w:type="spellStart"/>
            <w:r>
              <w:rPr>
                <w:rFonts w:ascii="Calibri" w:hAnsi="Calibri" w:cs="Calibri"/>
                <w:color w:val="000000"/>
              </w:rPr>
              <w:t>Greengrants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Fund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D4D" w14:textId="2ABA06E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1,685,000.00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1E92" w14:textId="3DA72A5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731,341.37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A95" w14:textId="39790CF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01/04/2023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447" w14:textId="73F3221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31/12/2025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3BB7" w14:textId="5170B03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D6F6" w14:textId="6B2412C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Ferguson Bruce Gordon</w:t>
            </w:r>
          </w:p>
        </w:tc>
      </w:tr>
      <w:tr w:rsidR="00EF08C5" w:rsidRPr="00ED52FA" w14:paraId="0A8B9B3B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2D2B" w14:textId="3BD65CF4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Conocimientos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emociones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actitudes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humanas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fauna </w:t>
            </w:r>
            <w:proofErr w:type="spellStart"/>
            <w:r>
              <w:rPr>
                <w:rFonts w:ascii="Calibri" w:hAnsi="Calibri" w:cs="Calibri"/>
                <w:color w:val="000000"/>
              </w:rPr>
              <w:t>silvestre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Reserva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Biosfera el Triunfo.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813F" w14:textId="29B8D0D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The Rufford Foundation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1153" w14:textId="51108A2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125,567.67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62E9" w14:textId="0290AA4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111,200.67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629A" w14:textId="61F23BD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01/06/2023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A59C" w14:textId="24EF244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31/07/2024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0839" w14:textId="054FFBA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2F2E" w14:textId="68762E8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Naranjo Piñera Eduardo Jorge</w:t>
            </w:r>
          </w:p>
        </w:tc>
      </w:tr>
      <w:tr w:rsidR="00EF08C5" w:rsidRPr="00ED52FA" w14:paraId="5B2729B8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DDA8" w14:textId="3231680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Programa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“Cornelius </w:t>
            </w:r>
            <w:proofErr w:type="spellStart"/>
            <w:r>
              <w:rPr>
                <w:rFonts w:ascii="Calibri" w:hAnsi="Calibri" w:cs="Calibri"/>
                <w:color w:val="000000"/>
              </w:rPr>
              <w:t>Cátedra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Interinstitucional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Castoriadis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 Colegio de la Frontera Sur”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ADA" w14:textId="2C71BCA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The Resource Foundation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5859" w14:textId="02E10A7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378,638.01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F49" w14:textId="0E5A175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349,269.72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055E" w14:textId="18E3CA5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01/06/2023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DF08" w14:textId="75D6F2A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30/06/2024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7B9" w14:textId="5228CD1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BABF" w14:textId="025090C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Cruz Salazar Tania</w:t>
            </w:r>
          </w:p>
        </w:tc>
      </w:tr>
      <w:tr w:rsidR="00EF08C5" w:rsidRPr="00ED52FA" w14:paraId="3F8FF4DE" w14:textId="77777777" w:rsidTr="00E07E43">
        <w:trPr>
          <w:trHeight w:val="567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6D43" w14:textId="225F04CC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Chanul POM: </w:t>
            </w:r>
            <w:proofErr w:type="gramStart"/>
            <w:r>
              <w:rPr>
                <w:rFonts w:ascii="Calibri" w:hAnsi="Calibri" w:cs="Calibri"/>
                <w:color w:val="000000"/>
              </w:rPr>
              <w:t>Abejas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para la Vida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48A8" w14:textId="3247CD7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Fundación Kellogg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1A0B" w14:textId="313E85B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2,777,356.40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D6A3" w14:textId="469BE41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1,308,903.17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FF5B" w14:textId="67CDBB5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01/06/2023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4597" w14:textId="5A99BFA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6B54" w14:textId="575AEEA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3534" w14:textId="5681FC8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Vandame Remy Benoit Marie</w:t>
            </w:r>
          </w:p>
        </w:tc>
      </w:tr>
      <w:tr w:rsidR="00EF08C5" w:rsidRPr="00ED52FA" w14:paraId="59DDC6F7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AE8F" w14:textId="07A13EE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Programa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salud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ambiental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disminución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desigualdades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socioambientales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derivadas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exposición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contaminantes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región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Coatzacoalcos-Minatitlan-</w:t>
            </w:r>
            <w:proofErr w:type="spellStart"/>
            <w:r>
              <w:rPr>
                <w:rFonts w:ascii="Calibri" w:hAnsi="Calibri" w:cs="Calibri"/>
                <w:color w:val="000000"/>
              </w:rPr>
              <w:t>Jaltipan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Morelos, Veracruz.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697C" w14:textId="4FF69EA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CONAHCYT-PRONACES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31B" w14:textId="658AE3C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7,208,115.80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5A1B" w14:textId="1C505E4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7,208,115.80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9999" w14:textId="53C1463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25/03/2022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99E" w14:textId="38AFAC4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ED5D" w14:textId="4670389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071D" w14:textId="5A38DAA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Torres Dosal Arturo</w:t>
            </w:r>
          </w:p>
        </w:tc>
      </w:tr>
      <w:tr w:rsidR="00EF08C5" w:rsidRPr="00ED52FA" w14:paraId="30DB0968" w14:textId="77777777" w:rsidTr="00E07E43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CCFF" w14:textId="43321143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Abejas y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acción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colectiva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apicultoras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apicultores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diversidad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biocultural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península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Yucatán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transitar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regímenes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socioambientales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más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equitativos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sostenibles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0F40" w14:textId="72CD1CF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CONAHCYT-PRONACES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86F" w14:textId="523E54C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3,223,976.52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394D" w14:textId="3C469DC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1,978,444.70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3AE8" w14:textId="5229A0B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20/04/2022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9A65" w14:textId="2207A17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CC70" w14:textId="19C9236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C3EC" w14:textId="5460C8F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Vandame Remy Benoit Marie</w:t>
            </w:r>
          </w:p>
        </w:tc>
      </w:tr>
      <w:tr w:rsidR="00EF08C5" w:rsidRPr="00ED52FA" w14:paraId="0815B7EE" w14:textId="77777777" w:rsidTr="00E07E43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97FF" w14:textId="41DC2F14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Sistemas </w:t>
            </w:r>
            <w:proofErr w:type="spellStart"/>
            <w:r>
              <w:rPr>
                <w:rFonts w:ascii="Calibri" w:hAnsi="Calibri" w:cs="Calibri"/>
                <w:color w:val="000000"/>
              </w:rPr>
              <w:t>socioecológicos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sustentables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cafetaleros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sureste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México,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fase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FAD5" w14:textId="3706F0E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CONACYT-PRONACES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E7A" w14:textId="7C20769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5,260,687.33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4D53" w14:textId="04729D1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3,723,979.77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E7F" w14:textId="200B7B3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06/05/2022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63B4" w14:textId="73819BC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DADE" w14:textId="4E421C1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E65" w14:textId="593CE03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Soto Pinto María Lorena</w:t>
            </w:r>
          </w:p>
        </w:tc>
      </w:tr>
      <w:tr w:rsidR="00EF08C5" w:rsidRPr="00ED52FA" w14:paraId="26538663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E227" w14:textId="2054913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Rescate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participativo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prácticas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agroecológicas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tradicionales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producción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carne y leche de las regiones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clima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tropical de México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autoabasto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alimentos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calidad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familias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campesinas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vulnerable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D0F5" w14:textId="6753561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CONAHCYT-PRONACES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F1DE" w14:textId="3C01E04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754,803.20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13B" w14:textId="2F0540C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564,776.51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7505" w14:textId="0F71B45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03/05/2022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0B0" w14:textId="181FF66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03/05/2025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AC2" w14:textId="1D3B7E0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FE83" w14:textId="0E5E41B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Nahed Toral José</w:t>
            </w:r>
          </w:p>
        </w:tc>
      </w:tr>
      <w:tr w:rsidR="00EF08C5" w:rsidRPr="00ED52FA" w14:paraId="1A0DE091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08A" w14:textId="0319FD1C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Ciclo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doméstico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peridoméstico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silvestre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ecología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enfermedad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Chagas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regiones </w:t>
            </w:r>
            <w:proofErr w:type="spellStart"/>
            <w:r>
              <w:rPr>
                <w:rFonts w:ascii="Calibri" w:hAnsi="Calibri" w:cs="Calibri"/>
                <w:color w:val="000000"/>
              </w:rPr>
              <w:t>focalizadas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Oaxaca y Chiapas, México.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BBE6" w14:textId="170FC55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F3A" w14:textId="7794103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1,378,224.00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AC3" w14:textId="063E6DE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1,309,948.28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9387" w14:textId="510AB56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08/01/2020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DB8" w14:textId="22DF3B8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21/04/2024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738" w14:textId="68FB08C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7E10" w14:textId="018C7B4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Ochoa Díaz-López Héctor</w:t>
            </w:r>
          </w:p>
        </w:tc>
      </w:tr>
      <w:tr w:rsidR="00EF08C5" w:rsidRPr="00ED52FA" w14:paraId="74D83130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C95C" w14:textId="2FD6D464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Fijación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nitrógeno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través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domesticación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difusión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Américas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939E" w14:textId="1E8D27C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Universidad Estatal de Ohio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F7A4" w14:textId="240B676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117,477.30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2BA5" w14:textId="64899EA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57,340.97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FCFB" w14:textId="056158F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01/06/2022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112F" w14:textId="029EA1E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668" w14:textId="1AB4B87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87EC" w14:textId="2214AC1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Reyna Hurtado Rafael Angel</w:t>
            </w:r>
          </w:p>
        </w:tc>
      </w:tr>
      <w:tr w:rsidR="00EF08C5" w:rsidRPr="00ED52FA" w14:paraId="3FBD2A01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F114" w14:textId="7DDB7099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Development and evaluation of quality control methods for the application of the sit in Aedes Aegypti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62CF" w14:textId="10A978E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Organismo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Internacional de Energía </w:t>
            </w:r>
            <w:proofErr w:type="spellStart"/>
            <w:r>
              <w:rPr>
                <w:rFonts w:ascii="Calibri" w:hAnsi="Calibri" w:cs="Calibri"/>
                <w:color w:val="000000"/>
              </w:rPr>
              <w:t>Atómica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12B" w14:textId="0E9818C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423,063.98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73E2" w14:textId="7BFC49C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245,366.66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8934" w14:textId="0E1B7A2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13/04/2020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8382" w14:textId="4F29E4B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30/06/2025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01F" w14:textId="1537087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EA16" w14:textId="7B4C462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Dor Roques Ariane Liliane Jeanne</w:t>
            </w:r>
          </w:p>
        </w:tc>
      </w:tr>
      <w:tr w:rsidR="00EF08C5" w:rsidRPr="00ED52FA" w14:paraId="2FF1496A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444D" w14:textId="508FF289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Development and optimization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infochemical</w:t>
            </w:r>
            <w:proofErr w:type="spellEnd"/>
            <w:r>
              <w:rPr>
                <w:rFonts w:ascii="Calibri" w:hAnsi="Calibri" w:cs="Calibri"/>
                <w:color w:val="000000"/>
              </w:rPr>
              <w:t>-derived lures for monitoring anastrepha fruit files.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12F0" w14:textId="3D58499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Organismo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Internacional de Energía </w:t>
            </w:r>
            <w:proofErr w:type="spellStart"/>
            <w:r>
              <w:rPr>
                <w:rFonts w:ascii="Calibri" w:hAnsi="Calibri" w:cs="Calibri"/>
                <w:color w:val="000000"/>
              </w:rPr>
              <w:t>Atómica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80A5" w14:textId="18A791A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366,816.90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EC4B" w14:textId="6F8B108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206,801.31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D57C" w14:textId="382BEAE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24/09/2021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C086" w14:textId="07DEBA3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23/10/2026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3A5" w14:textId="069BA3B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199" w14:textId="1BE41FA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Rojas León Julio César</w:t>
            </w:r>
          </w:p>
        </w:tc>
      </w:tr>
      <w:tr w:rsidR="00EF08C5" w:rsidRPr="00ED52FA" w14:paraId="025EBA7D" w14:textId="77777777" w:rsidTr="00E07E43">
        <w:trPr>
          <w:trHeight w:val="608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2F23" w14:textId="7F0BD4D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Desarrollo de bases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datos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recursos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bioinformáticos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novedosos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análisis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metagenómico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masivo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metazoa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más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000000"/>
              </w:rPr>
              <w:t>fácil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estudiar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diversidad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alfa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los bosques </w:t>
            </w:r>
            <w:proofErr w:type="spellStart"/>
            <w:r>
              <w:rPr>
                <w:rFonts w:ascii="Calibri" w:hAnsi="Calibri" w:cs="Calibri"/>
                <w:color w:val="000000"/>
              </w:rPr>
              <w:t>tropicales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México.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46D" w14:textId="03F0EB5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CONACYT-ECOSUR- Instituto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Biología</w:t>
            </w:r>
            <w:proofErr w:type="spellEnd"/>
            <w:r>
              <w:rPr>
                <w:rFonts w:ascii="Calibri" w:hAnsi="Calibri" w:cs="Calibri"/>
                <w:color w:val="000000"/>
              </w:rPr>
              <w:t>, UNAM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D53" w14:textId="4505DD9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3,053,061.00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937" w14:textId="0D13B07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2,497,162.52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C86F" w14:textId="199F661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20/10/2020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2210" w14:textId="131D70E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30/09/2024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B48E" w14:textId="6B8220B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5F10" w14:textId="7A2F016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Zarza Franco Guadalupe Eugenia</w:t>
            </w:r>
          </w:p>
        </w:tc>
      </w:tr>
      <w:tr w:rsidR="00EF08C5" w:rsidRPr="00ED52FA" w14:paraId="4F09AC7A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0071" w14:textId="4C802052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Influencia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infección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trypanosoma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cruzi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comunicación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intra-</w:t>
            </w:r>
            <w:proofErr w:type="spellStart"/>
            <w:r>
              <w:rPr>
                <w:rFonts w:ascii="Calibri" w:hAnsi="Calibri" w:cs="Calibri"/>
                <w:color w:val="000000"/>
              </w:rPr>
              <w:t>específica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chinches chagasicas: un primer paso </w:t>
            </w:r>
            <w:proofErr w:type="spellStart"/>
            <w:r>
              <w:rPr>
                <w:rFonts w:ascii="Calibri" w:hAnsi="Calibri" w:cs="Calibri"/>
                <w:color w:val="000000"/>
              </w:rPr>
              <w:t>hacia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prevención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enfermedad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Chagas    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6EB" w14:textId="6A64D5D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CONACYT-UNAM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71C1" w14:textId="4765BCA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572,610.00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D324" w14:textId="2503B42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434,122.41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DBF4" w14:textId="785580F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23/11/2020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EB3E" w14:textId="0340842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31/08/2024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8DEE" w14:textId="5D19B31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A639" w14:textId="3DF84FA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Cruz López Leopoldo Caridad</w:t>
            </w:r>
          </w:p>
        </w:tc>
      </w:tr>
      <w:tr w:rsidR="00EF08C5" w:rsidRPr="00ED52FA" w14:paraId="7055F086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A102" w14:textId="396C49BC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Estudio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ecología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sensorial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picudo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soya (rhyssomatus nigerrimus fahraeus)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97A8" w14:textId="0A5586B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CONACYT-Instituto Nacional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Investigaciones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Forestales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Agrícolas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Pecuarias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B7EA" w14:textId="1A221ED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578,112.99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1C" w14:textId="2A05270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578,112.99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532" w14:textId="7A1573E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12/06/2020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6B69" w14:textId="240CD09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15/01/2023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501E" w14:textId="1AAA2E8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78D9" w14:textId="0DC8DC4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Cruz López Leopoldo Caridad</w:t>
            </w:r>
          </w:p>
        </w:tc>
      </w:tr>
      <w:tr w:rsidR="00EF08C5" w:rsidRPr="00ED52FA" w14:paraId="710E95EC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40C3" w14:textId="0E1DF70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Beca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preparación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posgrado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asistente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investigación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nivel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licenciatura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postular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color w:val="000000"/>
              </w:rPr>
              <w:t>posgrado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próximas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convocatorias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maestría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recursos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naturales y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rural; </w:t>
            </w:r>
            <w:proofErr w:type="spellStart"/>
            <w:r>
              <w:rPr>
                <w:rFonts w:ascii="Calibri" w:hAnsi="Calibri" w:cs="Calibri"/>
                <w:color w:val="000000"/>
              </w:rPr>
              <w:t>así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estudiantes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maestría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color w:val="000000"/>
              </w:rPr>
              <w:t>doctorado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sustentable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y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un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informático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gestión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tecnológica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proyectos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4AE4" w14:textId="5824AB3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Consejo de </w:t>
            </w:r>
            <w:r w:rsidR="00E07E43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iencia y </w:t>
            </w:r>
            <w:proofErr w:type="spellStart"/>
            <w:r w:rsidR="00E07E43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ecnología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r w:rsidR="00E07E43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stado de Tabasco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BC56" w14:textId="22B7B92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397,000.00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E8DD" w14:textId="7D46ACB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298,105.96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33EA" w14:textId="6DB819D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17/09/2023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6961" w14:textId="4AC50D5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14/09/2024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921D" w14:textId="049DF61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679C" w14:textId="3AF5786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Ramos Reyes Rodimiro </w:t>
            </w:r>
          </w:p>
        </w:tc>
      </w:tr>
      <w:tr w:rsidR="00EF08C5" w:rsidRPr="00ED52FA" w14:paraId="71F524AC" w14:textId="77777777" w:rsidTr="00E07E43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7F29" w14:textId="6DCECF51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Hummingbirds and their nectar resources in tabasco (</w:t>
            </w:r>
            <w:proofErr w:type="spellStart"/>
            <w:r>
              <w:rPr>
                <w:rFonts w:ascii="Calibri" w:hAnsi="Calibri" w:cs="Calibri"/>
                <w:color w:val="000000"/>
              </w:rPr>
              <w:t>mexico</w:t>
            </w:r>
            <w:proofErr w:type="spellEnd"/>
            <w:r>
              <w:rPr>
                <w:rFonts w:ascii="Calibri" w:hAnsi="Calibri" w:cs="Calibri"/>
                <w:color w:val="000000"/>
              </w:rPr>
              <w:t>): identifying priorities and strategies for their conservation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2E9F" w14:textId="31F4588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The Rufford Foundation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64B9" w14:textId="1B5CAE0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127,650.90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FAAE" w14:textId="4D8C988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69,911.46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A726" w14:textId="7619419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30A7" w14:textId="41F70C5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30/06/2024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33F5" w14:textId="3DA1131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2E2B" w14:textId="676616A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Rodriguez Flores Claudia Isabel </w:t>
            </w:r>
          </w:p>
        </w:tc>
      </w:tr>
      <w:tr w:rsidR="00EF08C5" w:rsidRPr="00ED52FA" w14:paraId="73261575" w14:textId="77777777" w:rsidTr="00E07E43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0D4" w14:textId="05F40CE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MFCCV 4.2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Transferencia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Conocimiento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1915" w14:textId="7EA0C58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Planalto</w:t>
            </w:r>
            <w:proofErr w:type="spellEnd"/>
            <w:r>
              <w:rPr>
                <w:rFonts w:ascii="Calibri" w:hAnsi="Calibri" w:cs="Calibri"/>
                <w:color w:val="000000"/>
              </w:rPr>
              <w:t>-CONAFOR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FBF8" w14:textId="25C390E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72,000.00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1B8E" w14:textId="5A9A304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71,305.78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F4D9" w14:textId="527FA81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21/04/2023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EFA3" w14:textId="066110C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31/03/2025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302" w14:textId="54CDEE5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91B2" w14:textId="7B3CB0E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Martínez Zurimendi Pablo</w:t>
            </w:r>
          </w:p>
        </w:tc>
      </w:tr>
      <w:tr w:rsidR="00EF08C5" w:rsidRPr="00ED52FA" w14:paraId="2B5D4AFC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1867" w14:textId="78C789D0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Estudio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factibilidad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recomendación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establecimiento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proyecto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piloto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ZRP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Balancán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Tabasco, </w:t>
            </w:r>
            <w:proofErr w:type="spellStart"/>
            <w:r>
              <w:rPr>
                <w:rFonts w:ascii="Calibri" w:hAnsi="Calibri" w:cs="Calibri"/>
                <w:color w:val="000000"/>
              </w:rPr>
              <w:t>así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identificación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otros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lugares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establecimiento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ZRP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44D" w14:textId="19FED77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Vo. Bo. </w:t>
            </w:r>
            <w:proofErr w:type="spellStart"/>
            <w:r>
              <w:rPr>
                <w:rFonts w:ascii="Calibri" w:hAnsi="Calibri" w:cs="Calibri"/>
                <w:color w:val="000000"/>
              </w:rPr>
              <w:t>Asesores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integrales</w:t>
            </w:r>
            <w:proofErr w:type="spellEnd"/>
            <w:r>
              <w:rPr>
                <w:rFonts w:ascii="Calibri" w:hAnsi="Calibri" w:cs="Calibri"/>
                <w:color w:val="000000"/>
              </w:rPr>
              <w:t>, S.C.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040" w14:textId="6839F4A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172,403.80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154B" w14:textId="126B3F4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122,945.32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83B" w14:textId="625C7EF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17/08/2023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9A7" w14:textId="117EAD5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17/01/2024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375" w14:textId="43CD52A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B449" w14:textId="36E98FC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Mendoza Carranza Manuel </w:t>
            </w:r>
          </w:p>
        </w:tc>
      </w:tr>
      <w:tr w:rsidR="00EF08C5" w:rsidRPr="00ED52FA" w14:paraId="34258902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5FB1" w14:textId="609BCCA9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Metabolismo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ecosistema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ríos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tropicales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influencia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estacionalidad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hidrológica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humanas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158" w14:textId="0F73579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E07E43" w:rsidRPr="00E07E43"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 w:rsidR="00E07E43" w:rsidRPr="00E07E43">
              <w:rPr>
                <w:rFonts w:ascii="Calibri" w:hAnsi="Calibri" w:cs="Calibri"/>
                <w:color w:val="000000"/>
              </w:rPr>
              <w:t>CYT- University of Georgia, Sam Houston University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0DA" w14:textId="3767386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3,150,000.00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8AC5" w14:textId="0DEB5DF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3,108,777.51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4683" w14:textId="393E032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03/11/2020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EA1B" w14:textId="1B0C206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05/08/2024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E87A" w14:textId="3B42CC9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3B8D" w14:textId="0CB025F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Castillo Uzcanga María Mercedes</w:t>
            </w:r>
          </w:p>
        </w:tc>
      </w:tr>
      <w:tr w:rsidR="00EF08C5" w:rsidRPr="00ED52FA" w14:paraId="5FA57ED5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E413" w14:textId="395194C9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Ensamblaje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anotación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funcional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genomas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murciélagos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endémicos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mexicanos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7848" w14:textId="56F406A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CYT- University of Georgia, Sam Houston University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31A9" w14:textId="1980E6C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659,138.00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C928" w14:textId="012271E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642,929.59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D62E" w14:textId="5CAD051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20/05/2021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639A" w14:textId="74A8279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08/12/2024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C9F5" w14:textId="720340C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98%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2FD" w14:textId="01D87D8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Castellanos Morales Gabriela</w:t>
            </w:r>
          </w:p>
        </w:tc>
      </w:tr>
      <w:tr w:rsidR="00EF08C5" w:rsidRPr="00ED52FA" w14:paraId="4D25C7F9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92EF" w14:textId="00054B74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Descifrando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microbioma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ajolotes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consecuencias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interacción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huésped-microbioma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sobre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enfermedad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emergente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C7B1" w14:textId="6AAF705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CYT-Instituto Politécnico Nacional y El Colegio de la Frontera Sur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CEA8" w14:textId="21779BC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21,000.00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D873" w14:textId="04A10A3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20,978.32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9051" w14:textId="6954E4F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06/01/2021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336B" w14:textId="78E166D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31/03/2025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47FE" w14:textId="7A327DD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B6FD" w14:textId="7E13D05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Castellanos Morales Gabriela</w:t>
            </w:r>
          </w:p>
        </w:tc>
      </w:tr>
      <w:tr w:rsidR="00EF08C5" w:rsidRPr="00ED52FA" w14:paraId="6EFF442E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0E9" w14:textId="4E88D9A1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Plataforma multi-actor para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democratización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energética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iniciativas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economía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social y </w:t>
            </w:r>
            <w:proofErr w:type="spellStart"/>
            <w:r>
              <w:rPr>
                <w:rFonts w:ascii="Calibri" w:hAnsi="Calibri" w:cs="Calibri"/>
                <w:color w:val="000000"/>
              </w:rPr>
              <w:t>solidaria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comunidades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rurales-</w:t>
            </w:r>
            <w:proofErr w:type="spellStart"/>
            <w:r>
              <w:rPr>
                <w:rFonts w:ascii="Calibri" w:hAnsi="Calibri" w:cs="Calibri"/>
                <w:color w:val="000000"/>
              </w:rPr>
              <w:t>urbanas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Tabasco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423C" w14:textId="677553E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CYT-Centro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Ciencias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Genómicas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UNAM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DE9A" w14:textId="311210A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6,086,419.66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7584" w14:textId="1D14992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5,376,740.13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BF1" w14:textId="592B9A7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23/03/2022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DEDC" w14:textId="78D124A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49D" w14:textId="0A7957E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0AB9" w14:textId="6C2DABA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Van Der Wal Johannes Cornelis</w:t>
            </w:r>
          </w:p>
        </w:tc>
      </w:tr>
      <w:tr w:rsidR="00EF08C5" w:rsidRPr="00ED52FA" w14:paraId="702DB391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84E8" w14:textId="1036F991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>
              <w:rPr>
                <w:rFonts w:ascii="Calibri" w:hAnsi="Calibri" w:cs="Calibri"/>
                <w:color w:val="000000"/>
              </w:rPr>
              <w:t>impacto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megaproyectos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socioecológicos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perspectiva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transdisciplinaria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programa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integral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maya.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9D36" w14:textId="1B20BBC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EDCB" w14:textId="3A43AF1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5,832,062.20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6207" w14:textId="51A0DF9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3,791,085.03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C37" w14:textId="2F1F201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31/01/2022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59F" w14:textId="581F57C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ADDB" w14:textId="4577D22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422" w14:textId="20C4E52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Díaz Perera Miguel Ángel</w:t>
            </w:r>
          </w:p>
        </w:tc>
      </w:tr>
      <w:tr w:rsidR="00EF08C5" w:rsidRPr="00ED52FA" w14:paraId="6F47A0B2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AC00" w14:textId="2B431CB4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Eco </w:t>
            </w:r>
            <w:proofErr w:type="spellStart"/>
            <w:r>
              <w:rPr>
                <w:rFonts w:ascii="Calibri" w:hAnsi="Calibri" w:cs="Calibri"/>
                <w:color w:val="000000"/>
              </w:rPr>
              <w:t>hidrología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sustentabilidad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gobernanza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agua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cuencas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bien </w:t>
            </w:r>
            <w:proofErr w:type="spellStart"/>
            <w:r>
              <w:rPr>
                <w:rFonts w:ascii="Calibri" w:hAnsi="Calibri" w:cs="Calibri"/>
                <w:color w:val="000000"/>
              </w:rPr>
              <w:t>común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4C3F" w14:textId="51CFB81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CYT FORDECYT-PRONACES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FB55" w14:textId="23AF222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883,260.00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BBD5" w14:textId="10BE6B7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816,247.96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8697" w14:textId="3C96CBC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14/01/2022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08C7" w14:textId="0013576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7D6E" w14:textId="010CA4F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B537" w14:textId="5D2096E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Barba Macías Everardo</w:t>
            </w:r>
          </w:p>
        </w:tc>
      </w:tr>
      <w:tr w:rsidR="00EF08C5" w:rsidRPr="00ED52FA" w14:paraId="3E70500E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2D4" w14:textId="46A729DA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Evaluación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Sistemas </w:t>
            </w:r>
            <w:proofErr w:type="spellStart"/>
            <w:r>
              <w:rPr>
                <w:rFonts w:ascii="Calibri" w:hAnsi="Calibri" w:cs="Calibri"/>
                <w:color w:val="000000"/>
              </w:rPr>
              <w:t>Silvopastoriles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Transitar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Ganadería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Sostenible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Climáticamente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Inteligente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la Cuenca del Usumacinta, Tabasco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03B9" w14:textId="28D680E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CYT-Comisión Nacional del Agua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BFB4" w14:textId="742D95A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AA9" w14:textId="13D26D2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211,083.64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76B3" w14:textId="464B06B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786F" w14:textId="474E5A8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24/07/2024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822" w14:textId="23F2B22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A14" w14:textId="30AA1B6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Martínez Zurimendi Pablo</w:t>
            </w:r>
          </w:p>
        </w:tc>
      </w:tr>
      <w:tr w:rsidR="00EF08C5" w:rsidRPr="00ED52FA" w14:paraId="4E5CA170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0B2A" w14:textId="3419411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Elaboración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Bebidas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Fermentadas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Miel de Abejas del Género Melipona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418B" w14:textId="0763B04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Consejo de Ciencia y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Tecnolog</w:t>
            </w:r>
            <w:r w:rsidR="00E07E43">
              <w:rPr>
                <w:rFonts w:ascii="Calibri" w:hAnsi="Calibri" w:cs="Calibri"/>
                <w:color w:val="000000"/>
              </w:rPr>
              <w:t>í</w:t>
            </w:r>
            <w:r>
              <w:rPr>
                <w:rFonts w:ascii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Estado de Tabasco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51EE" w14:textId="0AB22A0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146,180.00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E888" w14:textId="7003964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118,886.82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7C7" w14:textId="08E9001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7633" w14:textId="6DB5B13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24/07/2024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241" w14:textId="6E5BBD8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4548" w14:textId="5081DEE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Cueva Rodríguez Alejandro Hiram</w:t>
            </w:r>
          </w:p>
        </w:tc>
      </w:tr>
      <w:tr w:rsidR="00EF08C5" w:rsidRPr="00ED52FA" w14:paraId="3AF7A51B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2E10" w14:textId="0DE17626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Sistema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Cultivo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Peces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Hortalizas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Hidropónico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 </w:t>
            </w:r>
            <w:proofErr w:type="spellStart"/>
            <w:r>
              <w:rPr>
                <w:rFonts w:ascii="Calibri" w:hAnsi="Calibri" w:cs="Calibri"/>
                <w:color w:val="000000"/>
              </w:rPr>
              <w:t>uso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Energía </w:t>
            </w:r>
            <w:proofErr w:type="spellStart"/>
            <w:r>
              <w:rPr>
                <w:rFonts w:ascii="Calibri" w:hAnsi="Calibri" w:cs="Calibri"/>
                <w:color w:val="000000"/>
              </w:rPr>
              <w:t>Eléctrica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F6A0" w14:textId="0E41855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Consejo de Ciencia y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Tecnolog</w:t>
            </w:r>
            <w:r w:rsidR="00E07E43">
              <w:rPr>
                <w:rFonts w:ascii="Calibri" w:hAnsi="Calibri" w:cs="Calibri"/>
                <w:color w:val="000000"/>
              </w:rPr>
              <w:t>í</w:t>
            </w:r>
            <w:r>
              <w:rPr>
                <w:rFonts w:ascii="Calibri" w:hAnsi="Calibri" w:cs="Calibri"/>
                <w:color w:val="000000"/>
              </w:rPr>
              <w:t>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Estado de Tabasco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37A9" w14:textId="54A9EB8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1893" w14:textId="15BE698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188,865.47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27F" w14:textId="2150D9B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FCD5" w14:textId="35BD629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24/07/2024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A65" w14:textId="3D7B8F7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778F" w14:textId="483BE84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Robles Jardón Ramiro</w:t>
            </w:r>
          </w:p>
        </w:tc>
      </w:tr>
      <w:tr w:rsidR="00EF08C5" w:rsidRPr="00ED52FA" w14:paraId="34515CF0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5D3" w14:textId="0FA2F5EF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Are the Isolated distribution of the American Horseshoe Crab in the Yucatán Peninsula, Mexico, and current anthropogenic impacts a threat for its conservation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167" w14:textId="79C19B0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The Rufford Foundation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166B" w14:textId="44E20ED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125,501.40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A9C" w14:textId="2F6048E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125,501.40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1529" w14:textId="3D4AC50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27/04/2023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4B7" w14:textId="7875AA8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26/04/2024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9CD6" w14:textId="551D03F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74BD" w14:textId="552D263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Machkour </w:t>
            </w:r>
            <w:proofErr w:type="spellStart"/>
            <w:r>
              <w:rPr>
                <w:rFonts w:ascii="Calibri" w:hAnsi="Calibri" w:cs="Calibri"/>
                <w:color w:val="000000"/>
              </w:rPr>
              <w:t>M´Rabet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Salima Christine</w:t>
            </w:r>
          </w:p>
        </w:tc>
      </w:tr>
      <w:tr w:rsidR="00EF08C5" w:rsidRPr="00ED52FA" w14:paraId="0A8A6040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3AB4" w14:textId="1365472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Las </w:t>
            </w:r>
            <w:proofErr w:type="spellStart"/>
            <w:r>
              <w:rPr>
                <w:rFonts w:ascii="Calibri" w:hAnsi="Calibri" w:cs="Calibri"/>
                <w:color w:val="000000"/>
              </w:rPr>
              <w:t>selvas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Península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Yucatán </w:t>
            </w:r>
            <w:proofErr w:type="spellStart"/>
            <w:r>
              <w:rPr>
                <w:rFonts w:ascii="Calibri" w:hAnsi="Calibri" w:cs="Calibri"/>
                <w:color w:val="000000"/>
              </w:rPr>
              <w:t>durante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Holoceno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Medio y </w:t>
            </w:r>
            <w:proofErr w:type="spellStart"/>
            <w:r>
              <w:rPr>
                <w:rFonts w:ascii="Calibri" w:hAnsi="Calibri" w:cs="Calibri"/>
                <w:color w:val="000000"/>
              </w:rPr>
              <w:t>Tardío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Una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compleja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interacción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dinámica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resilencia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B3A" w14:textId="2F6703A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CFC2" w14:textId="1BDA07A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2,246,300.00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2E75" w14:textId="166593C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1,894,838.11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4FA" w14:textId="401FFAE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20/10/2020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F6AE" w14:textId="25E8369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593" w14:textId="5884440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95B1" w14:textId="6532D1A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Islebe Gerald Alexander</w:t>
            </w:r>
          </w:p>
        </w:tc>
      </w:tr>
      <w:tr w:rsidR="00EF08C5" w:rsidRPr="00ED52FA" w14:paraId="74397EBA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2C85" w14:textId="1E02D8E9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Nichos </w:t>
            </w:r>
            <w:proofErr w:type="spellStart"/>
            <w:r>
              <w:rPr>
                <w:rFonts w:ascii="Calibri" w:hAnsi="Calibri" w:cs="Calibri"/>
                <w:color w:val="000000"/>
              </w:rPr>
              <w:t>isotópicos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invertebrados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marinos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clave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entender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degradación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arrecifes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coralinos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Caribe.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F023" w14:textId="6E48169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5870" w14:textId="51E2EC8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1,394,018.00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5D8" w14:textId="099973A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1,244,456.31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0B2F" w14:textId="69A2D3D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20/10/2020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015B" w14:textId="26A5612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15/12/2024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6DB" w14:textId="318C052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D0B4" w14:textId="63AEA50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Cabanillas Terán Nancy</w:t>
            </w:r>
          </w:p>
        </w:tc>
      </w:tr>
      <w:tr w:rsidR="00EF08C5" w:rsidRPr="00ED52FA" w14:paraId="37BB6B7B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0CB" w14:textId="5E96B428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movimiento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hábitos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alimenticios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tapir </w:t>
            </w:r>
            <w:proofErr w:type="spellStart"/>
            <w:r>
              <w:rPr>
                <w:rFonts w:ascii="Calibri" w:hAnsi="Calibri" w:cs="Calibri"/>
                <w:color w:val="000000"/>
              </w:rPr>
              <w:t>centroamericano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Selva Maya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2E3" w14:textId="568A498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Experiencias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Xcaret </w:t>
            </w:r>
            <w:proofErr w:type="spellStart"/>
            <w:r>
              <w:rPr>
                <w:rFonts w:ascii="Calibri" w:hAnsi="Calibri" w:cs="Calibri"/>
                <w:color w:val="000000"/>
              </w:rPr>
              <w:t>Parques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F1D3" w14:textId="5EF5A6E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121,730.00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996" w14:textId="110FD2D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83,880.15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103A" w14:textId="3DFDBAA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01/11/2022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7EE0" w14:textId="49EFADC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01/04/2025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303E" w14:textId="0AEB96B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E56" w14:textId="0B0102D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Schmook Birgit Inge</w:t>
            </w:r>
          </w:p>
        </w:tc>
      </w:tr>
      <w:tr w:rsidR="00EF08C5" w:rsidRPr="00ED52FA" w14:paraId="5F6231FF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2E0B" w14:textId="1234C36D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conservación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Zopilote Rey (</w:t>
            </w:r>
            <w:proofErr w:type="spellStart"/>
            <w:r>
              <w:rPr>
                <w:rFonts w:ascii="Calibri" w:hAnsi="Calibri" w:cs="Calibri"/>
                <w:color w:val="000000"/>
              </w:rPr>
              <w:t>Sarcoramphus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papa)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Región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Calakmul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261A" w14:textId="0D39E33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Experiencias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Xcaret </w:t>
            </w:r>
            <w:proofErr w:type="spellStart"/>
            <w:r>
              <w:rPr>
                <w:rFonts w:ascii="Calibri" w:hAnsi="Calibri" w:cs="Calibri"/>
                <w:color w:val="000000"/>
              </w:rPr>
              <w:t>Parques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F93" w14:textId="2718586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165,000.00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F2DC" w14:textId="6C050AA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99,544.22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E32" w14:textId="40D75D6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01/11/2022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B0EC" w14:textId="2126399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01/04/2025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11D7" w14:textId="527B35A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6994" w14:textId="5BC660E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Schmook Birgit Inge</w:t>
            </w:r>
          </w:p>
        </w:tc>
      </w:tr>
      <w:tr w:rsidR="00EF08C5" w:rsidRPr="00ED52FA" w14:paraId="0344A698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FEAB" w14:textId="00CEC526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Proyecto </w:t>
            </w:r>
            <w:proofErr w:type="spellStart"/>
            <w:r>
              <w:rPr>
                <w:rFonts w:ascii="Calibri" w:hAnsi="Calibri" w:cs="Calibri"/>
                <w:color w:val="000000"/>
              </w:rPr>
              <w:t>estratégico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territorios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rurales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productores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que custodian </w:t>
            </w:r>
            <w:proofErr w:type="spellStart"/>
            <w:r>
              <w:rPr>
                <w:rFonts w:ascii="Calibri" w:hAnsi="Calibri" w:cs="Calibri"/>
                <w:color w:val="000000"/>
              </w:rPr>
              <w:t>maíces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nativos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México.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9B4" w14:textId="176DE23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Sr. Magdaleno Chan </w:t>
            </w:r>
            <w:proofErr w:type="spellStart"/>
            <w:r>
              <w:rPr>
                <w:rFonts w:ascii="Calibri" w:hAnsi="Calibri" w:cs="Calibri"/>
                <w:color w:val="000000"/>
              </w:rPr>
              <w:t>Dzu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(Grupo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Proctores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ubicados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territorio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Calkini-Hecelchakán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Estado de Campeche)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C13A" w14:textId="1876F70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270,002.74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A8CF" w14:textId="26EF5DF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184,798.30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E5C4" w14:textId="64801C7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18/09/2023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5E82" w14:textId="21D1C57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23/06/2024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D96" w14:textId="07907EA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B59" w14:textId="4D58B20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Pat Fernandez Lucio Alberto</w:t>
            </w:r>
          </w:p>
        </w:tc>
      </w:tr>
      <w:tr w:rsidR="00EF08C5" w:rsidRPr="00ED52FA" w14:paraId="7BFD6FF2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FDA" w14:textId="6D8B9C7C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Rescate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participativo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prácticas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agroecológicas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tradicionales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producción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carne y leche de las regiones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clima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tropical de México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auto </w:t>
            </w:r>
            <w:proofErr w:type="spellStart"/>
            <w:r>
              <w:rPr>
                <w:rFonts w:ascii="Calibri" w:hAnsi="Calibri" w:cs="Calibri"/>
                <w:color w:val="000000"/>
              </w:rPr>
              <w:t>abasto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alimentos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calidad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familias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campesinas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vulnerable.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599" w14:textId="1FFF443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CONAHCYT-Universidad del Estado de México-</w:t>
            </w:r>
            <w:proofErr w:type="spellStart"/>
            <w:r>
              <w:rPr>
                <w:rFonts w:ascii="Calibri" w:hAnsi="Calibri" w:cs="Calibri"/>
                <w:color w:val="000000"/>
              </w:rPr>
              <w:t>Secretaría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Investigación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Estudios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Avanzados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(SIEA)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29D" w14:textId="47F3F2A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270,000.00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9752" w14:textId="74B1573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155,315.95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E6CD" w14:textId="5EB18D3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214A" w14:textId="5C82F09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02/05/2025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CD0D" w14:textId="2655800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45" w14:textId="391CF02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Guízar Vázquez Jr. Francisco</w:t>
            </w:r>
          </w:p>
        </w:tc>
      </w:tr>
      <w:tr w:rsidR="00EF08C5" w:rsidRPr="00ED52FA" w14:paraId="6D0DCE8E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8F8C" w14:textId="1EE890E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desafiante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coexistencia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socio-</w:t>
            </w:r>
            <w:proofErr w:type="spellStart"/>
            <w:r>
              <w:rPr>
                <w:rFonts w:ascii="Calibri" w:hAnsi="Calibri" w:cs="Calibri"/>
                <w:color w:val="000000"/>
              </w:rPr>
              <w:t>ecológicos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acoplados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industrias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pesca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petróleo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sonda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Campeche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8C9" w14:textId="02A414F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</w:t>
            </w:r>
            <w:r w:rsidR="00E07E43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CYT-</w:t>
            </w:r>
            <w:proofErr w:type="spellStart"/>
            <w:r>
              <w:rPr>
                <w:rFonts w:ascii="Calibri" w:hAnsi="Calibri" w:cs="Calibri"/>
                <w:color w:val="000000"/>
              </w:rPr>
              <w:t>Convocatoria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Ciencia de Frontera 2019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5236" w14:textId="526BFC0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3,080,490.00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E7E" w14:textId="13B0559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2,326,517.78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854" w14:textId="26359B5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20/10/2020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2CF7" w14:textId="7195925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28/12/2024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E064" w14:textId="121C6B8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1BF1" w14:textId="6756C69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Espinoza Tenorio Alejandro</w:t>
            </w:r>
          </w:p>
        </w:tc>
      </w:tr>
      <w:tr w:rsidR="00EF08C5" w:rsidRPr="00ED52FA" w14:paraId="40955040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0DE7" w14:textId="109380B3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Monitoreo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rutas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potenciales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dispersión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secuencias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transgénicas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residuos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herbicidas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maíz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productos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derivados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humano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soberanía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alimentaria, </w:t>
            </w:r>
            <w:proofErr w:type="spellStart"/>
            <w:r>
              <w:rPr>
                <w:rFonts w:ascii="Calibri" w:hAnsi="Calibri" w:cs="Calibri"/>
                <w:color w:val="000000"/>
              </w:rPr>
              <w:t>salud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humana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ambiental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México.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3B8D" w14:textId="05BD075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Conahcyt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Pronaces</w:t>
            </w:r>
            <w:proofErr w:type="spellEnd"/>
            <w:r>
              <w:rPr>
                <w:rFonts w:ascii="Calibri" w:hAnsi="Calibri" w:cs="Calibri"/>
                <w:color w:val="000000"/>
              </w:rPr>
              <w:t>)-Universidad Michoacana de San Nicolás de Hidalgo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4186" w14:textId="6ED11CE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1,663,946.40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73" w14:textId="674FDFC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1,271,813.90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C97" w14:textId="070D0B1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17/02/2023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5038" w14:textId="1A7007D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3323" w14:textId="56EA893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8170" w14:textId="7E9E09D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Vandame Remy Benoit Marie</w:t>
            </w:r>
          </w:p>
        </w:tc>
      </w:tr>
      <w:tr w:rsidR="00EF08C5" w:rsidRPr="00ED52FA" w14:paraId="3976CC93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FB0" w14:textId="3FCEF31D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Jardín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etnobiológico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selvas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Soconusco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Propuesta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jardín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botánico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regional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soconusco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(ECO-TAP-JB) y </w:t>
            </w:r>
            <w:proofErr w:type="spellStart"/>
            <w:r>
              <w:rPr>
                <w:rFonts w:ascii="Calibri" w:hAnsi="Calibri" w:cs="Calibri"/>
                <w:color w:val="000000"/>
              </w:rPr>
              <w:t>herbario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(ECO-TA-H). Tercera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8714" w14:textId="015171F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9CB" w14:textId="7E49B9B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3,693,677.54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906D" w14:textId="6D66F0E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1,847,672.13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414" w14:textId="0FEBA22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28/07/2023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5E1F" w14:textId="5DB82BC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9059" w14:textId="7D75207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6BF1" w14:textId="116AD8D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Damon Anne Ashby</w:t>
            </w:r>
          </w:p>
        </w:tc>
      </w:tr>
      <w:tr w:rsidR="00EF08C5" w:rsidRPr="00ED52FA" w14:paraId="30E46FFE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FCF2" w14:textId="2C8D965A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Apicultura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organizaciones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organizaciones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campesinas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apícolas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sureste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México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</w:t>
            </w:r>
            <w:proofErr w:type="spellStart"/>
            <w:r>
              <w:rPr>
                <w:rFonts w:ascii="Calibri" w:hAnsi="Calibri" w:cs="Calibri"/>
                <w:color w:val="000000"/>
              </w:rPr>
              <w:t>principios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agroecológicos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85B7" w14:textId="4ECDC61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Fundación Kellogg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80FF" w14:textId="2133DF8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5,634,650.00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5D00" w14:textId="5E13E8C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726,502.74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A2D7" w14:textId="4B0D435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01/03/2024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EF3D" w14:textId="56DE146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EE6" w14:textId="20C1E0E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AB38" w14:textId="48DCDE5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Vandame Remy Benoit Marie</w:t>
            </w:r>
          </w:p>
        </w:tc>
      </w:tr>
      <w:tr w:rsidR="00EF08C5" w:rsidRPr="00ED52FA" w14:paraId="5974038D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256F" w14:textId="4734A1E7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Moderación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paisaje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sobre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patrones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biodiversidad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contribución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teoría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ecológica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paisaje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12" w14:textId="4933F8B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3C31" w14:textId="3CD6223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150,000.00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1518" w14:textId="7DEB5E7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45,000.00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05C6" w14:textId="5C49CDA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07/06/2022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3E6B" w14:textId="1664302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5F46" w14:textId="1C990F6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B015" w14:textId="36EFDEB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Maza Villalobos Méndez Susana</w:t>
            </w:r>
          </w:p>
        </w:tc>
      </w:tr>
      <w:tr w:rsidR="00EF08C5" w:rsidRPr="00ED52FA" w14:paraId="0F93259E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149C" w14:textId="69D9E14B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Demografía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drosophila </w:t>
            </w:r>
            <w:proofErr w:type="spellStart"/>
            <w:r>
              <w:rPr>
                <w:rFonts w:ascii="Calibri" w:hAnsi="Calibri" w:cs="Calibri"/>
                <w:color w:val="000000"/>
              </w:rPr>
              <w:t>suzukii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mejorar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/>
              </w:rPr>
              <w:t>aplicación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técnica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insecto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estéril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7D17" w14:textId="66A4DF6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</w:rPr>
              <w:t>Organismo</w:t>
            </w:r>
            <w:proofErr w:type="spellEnd"/>
            <w:r>
              <w:rPr>
                <w:rFonts w:ascii="Calibri" w:hAnsi="Calibri" w:cs="Calibri"/>
              </w:rPr>
              <w:t xml:space="preserve"> Internacional de Energía </w:t>
            </w:r>
            <w:proofErr w:type="spellStart"/>
            <w:r>
              <w:rPr>
                <w:rFonts w:ascii="Calibri" w:hAnsi="Calibri" w:cs="Calibri"/>
              </w:rPr>
              <w:t>Atómica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9BB8" w14:textId="4994B85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102,832.24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CCF" w14:textId="69703CF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47,593.46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184E" w14:textId="2B3F201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02/02/2024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50A3" w14:textId="2FBDF80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01/03/2029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5110" w14:textId="25E0115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01A" w14:textId="2004E07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Liedo Fernández José Pablo</w:t>
            </w:r>
          </w:p>
        </w:tc>
      </w:tr>
      <w:tr w:rsidR="00EF08C5" w:rsidRPr="00ED52FA" w14:paraId="260592E3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EA8" w14:textId="5E1B2E22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 xml:space="preserve">Virus de </w:t>
            </w:r>
            <w:proofErr w:type="spellStart"/>
            <w:r>
              <w:rPr>
                <w:rFonts w:ascii="Calibri" w:hAnsi="Calibri" w:cs="Calibri"/>
              </w:rPr>
              <w:t>plantas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aguas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residuales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superficiales</w:t>
            </w:r>
            <w:proofErr w:type="spellEnd"/>
            <w:r>
              <w:rPr>
                <w:rFonts w:ascii="Calibri" w:hAnsi="Calibri" w:cs="Calibri"/>
              </w:rPr>
              <w:t>: ¿</w:t>
            </w:r>
            <w:proofErr w:type="spellStart"/>
            <w:r>
              <w:rPr>
                <w:rFonts w:ascii="Calibri" w:hAnsi="Calibri" w:cs="Calibri"/>
              </w:rPr>
              <w:t>indicadores</w:t>
            </w:r>
            <w:proofErr w:type="spellEnd"/>
            <w:r>
              <w:rPr>
                <w:rFonts w:ascii="Calibri" w:hAnsi="Calibri" w:cs="Calibri"/>
              </w:rPr>
              <w:t xml:space="preserve"> de la </w:t>
            </w:r>
            <w:proofErr w:type="spellStart"/>
            <w:r>
              <w:rPr>
                <w:rFonts w:ascii="Calibri" w:hAnsi="Calibri" w:cs="Calibri"/>
              </w:rPr>
              <w:t>calidad</w:t>
            </w:r>
            <w:proofErr w:type="spellEnd"/>
            <w:r>
              <w:rPr>
                <w:rFonts w:ascii="Calibri" w:hAnsi="Calibri" w:cs="Calibri"/>
              </w:rPr>
              <w:t xml:space="preserve"> del </w:t>
            </w:r>
            <w:proofErr w:type="spellStart"/>
            <w:r>
              <w:rPr>
                <w:rFonts w:ascii="Calibri" w:hAnsi="Calibri" w:cs="Calibri"/>
              </w:rPr>
              <w:t>agua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amenazas</w:t>
            </w:r>
            <w:proofErr w:type="spellEnd"/>
            <w:r>
              <w:rPr>
                <w:rFonts w:ascii="Calibri" w:hAnsi="Calibri" w:cs="Calibri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</w:rPr>
              <w:t>agricultura</w:t>
            </w:r>
            <w:proofErr w:type="spellEnd"/>
            <w:r>
              <w:rPr>
                <w:rFonts w:ascii="Calibri" w:hAnsi="Calibri" w:cs="Calibri"/>
              </w:rPr>
              <w:t>? Etapa 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B59B" w14:textId="53C5C5A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EC73" w14:textId="11DFB06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150,000.00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DC42" w14:textId="4D7EABF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6,911.40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99B4" w14:textId="7623E3C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26/07/2023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8468" w14:textId="59E581F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408E" w14:textId="54B7973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58F5" w14:textId="223081C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Guillén Navarro Griselda Karina</w:t>
            </w:r>
          </w:p>
        </w:tc>
      </w:tr>
      <w:tr w:rsidR="00EF08C5" w:rsidRPr="00ED52FA" w14:paraId="68676DEC" w14:textId="77777777" w:rsidTr="00E07E43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C6D0" w14:textId="653BDEA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Programa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fortalecimiento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capacidades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comunidades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cooperativas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pesqueras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dentro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área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influencia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Fieldwoo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México          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E3D1" w14:textId="44D9576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 xml:space="preserve">Enuma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A2FE" w14:textId="0F971E8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227,710.08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AA7D" w14:textId="337C1DE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25,640.32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A6F" w14:textId="39EE971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06/05/2024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7A0A" w14:textId="112810C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09/05/2025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2D1" w14:textId="491747B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5D2C" w14:textId="1D278A55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Espinoza Tenorio Alejandro </w:t>
            </w:r>
          </w:p>
        </w:tc>
      </w:tr>
      <w:tr w:rsidR="00EF08C5" w:rsidRPr="00ED52FA" w14:paraId="33AFF7E2" w14:textId="77777777" w:rsidTr="00E07E43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EA32" w14:textId="60F9EC3E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Construyendo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bases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monitoreo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remoto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-digital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caudales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ecológicos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gestión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agua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7CD8" w14:textId="6EE8F5B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World Wildlife Fund, Inc. (WWF)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4DE7" w14:textId="3B940B7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45,693.10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4BD2" w14:textId="3988F1A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20,464.00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73E8" w14:textId="10F2979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22/04/2024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319" w14:textId="45AEB5A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31/12/2024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8B6C" w14:textId="5A7C99A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AA2A" w14:textId="79201D9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Salinas Rodríguez Sergio Alberto          </w:t>
            </w:r>
          </w:p>
        </w:tc>
      </w:tr>
      <w:tr w:rsidR="00EF08C5" w:rsidRPr="00ED52FA" w14:paraId="7B007832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5ECA" w14:textId="7A275C99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</w:rPr>
              <w:t>Feminicidios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homicidios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mujeres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sureste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mexicano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1C03" w14:textId="531841C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7482" w14:textId="55AB858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225,000.00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8744" w14:textId="302F9C6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97,321.28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A61" w14:textId="601B4BD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17/04/2023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FA6F" w14:textId="123892C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744E" w14:textId="1F63ADD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911A" w14:textId="4E0FF66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Yanes Pérez Maritel</w:t>
            </w:r>
          </w:p>
        </w:tc>
      </w:tr>
      <w:tr w:rsidR="00EF08C5" w:rsidRPr="00ED52FA" w14:paraId="2D1538D6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09A1" w14:textId="64A16F26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Estudio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semilla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pataxte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theobroma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bicolor)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su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aprovechamiento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alimento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funcional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3BE1" w14:textId="2031F38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 xml:space="preserve">Consejo de Ciencia y </w:t>
            </w:r>
            <w:proofErr w:type="spellStart"/>
            <w:r>
              <w:rPr>
                <w:rFonts w:ascii="Calibri" w:hAnsi="Calibri" w:cs="Calibri"/>
              </w:rPr>
              <w:t>Tecnología</w:t>
            </w:r>
            <w:proofErr w:type="spellEnd"/>
            <w:r>
              <w:rPr>
                <w:rFonts w:ascii="Calibri" w:hAnsi="Calibri" w:cs="Calibri"/>
              </w:rPr>
              <w:t xml:space="preserve"> del Estado de Tabasco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1123" w14:textId="2D8F48D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247,240.00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42DB" w14:textId="6CEA803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73,435.00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EEA" w14:textId="556BBDB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B4D" w14:textId="215993C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013" w14:textId="04864C8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F058" w14:textId="2F3187D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Irecta Nájera Cesar Antonio</w:t>
            </w:r>
          </w:p>
        </w:tc>
      </w:tr>
      <w:tr w:rsidR="00EF08C5" w:rsidRPr="00ED52FA" w14:paraId="36D40EB7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2D8E" w14:textId="37592D88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Modelos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inteligencia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artificial para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seguridad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 y </w:t>
            </w:r>
            <w:proofErr w:type="spellStart"/>
            <w:r>
              <w:rPr>
                <w:rFonts w:ascii="Calibri" w:hAnsi="Calibri" w:cs="Calibri"/>
                <w:color w:val="000000"/>
              </w:rPr>
              <w:t>trazabilidad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capturas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pesquerías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tabasco: </w:t>
            </w:r>
            <w:proofErr w:type="spellStart"/>
            <w:r>
              <w:rPr>
                <w:rFonts w:ascii="Calibri" w:hAnsi="Calibri" w:cs="Calibri"/>
                <w:color w:val="000000"/>
              </w:rPr>
              <w:t>prueba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piloto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tecnología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2142" w:type="dxa"/>
            <w:tcBorders>
              <w:top w:val="single" w:sz="4" w:space="0" w:color="15608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62D2" w14:textId="733494E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 xml:space="preserve">Consejo de Ciencia y </w:t>
            </w:r>
            <w:proofErr w:type="spellStart"/>
            <w:r>
              <w:rPr>
                <w:rFonts w:ascii="Calibri" w:hAnsi="Calibri" w:cs="Calibri"/>
              </w:rPr>
              <w:t>Tecnología</w:t>
            </w:r>
            <w:proofErr w:type="spellEnd"/>
            <w:r>
              <w:rPr>
                <w:rFonts w:ascii="Calibri" w:hAnsi="Calibri" w:cs="Calibri"/>
              </w:rPr>
              <w:t xml:space="preserve"> del Estado de Tabasco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0201" w14:textId="7B46114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238,500.00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D9F9" w14:textId="4A11B35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9,849.80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F7CD" w14:textId="1A36206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536" w14:textId="2986A1BB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E7B" w14:textId="2CF75C40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4%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43E2" w14:textId="289ACA82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Hernandez De La Cruz Armando</w:t>
            </w:r>
          </w:p>
        </w:tc>
      </w:tr>
      <w:tr w:rsidR="00EF08C5" w:rsidRPr="00ED52FA" w14:paraId="0B366A1A" w14:textId="77777777" w:rsidTr="00FF47DA">
        <w:trPr>
          <w:trHeight w:val="945"/>
        </w:trPr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5659D" w14:textId="4341E565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AI4Manatees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F76E" w14:textId="520A2E6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 xml:space="preserve">Plataforma Integral de Desarrollo </w:t>
            </w:r>
            <w:proofErr w:type="spellStart"/>
            <w:r>
              <w:rPr>
                <w:rFonts w:ascii="Calibri" w:hAnsi="Calibri" w:cs="Calibri"/>
              </w:rPr>
              <w:t>Sustentable</w:t>
            </w:r>
            <w:proofErr w:type="spellEnd"/>
            <w:r>
              <w:rPr>
                <w:rFonts w:ascii="Calibri" w:hAnsi="Calibri" w:cs="Calibri"/>
              </w:rPr>
              <w:t xml:space="preserve"> PIDES A.C.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DDB4" w14:textId="24194B9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00B9" w14:textId="7975FB4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21,282.40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6616" w14:textId="5557AD1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01/11/2023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52A0" w14:textId="1F988A0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EE6" w14:textId="39F4D2C4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6812D" w14:textId="00466BF8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</w:rPr>
              <w:t>Hénaut</w:t>
            </w:r>
            <w:proofErr w:type="spellEnd"/>
            <w:r>
              <w:rPr>
                <w:rFonts w:ascii="Calibri" w:hAnsi="Calibri" w:cs="Calibri"/>
              </w:rPr>
              <w:t xml:space="preserve"> Yann Lucien</w:t>
            </w:r>
          </w:p>
        </w:tc>
      </w:tr>
      <w:tr w:rsidR="00EF08C5" w:rsidRPr="00ED52FA" w14:paraId="5F47D6D3" w14:textId="77777777" w:rsidTr="00EF08C5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1740" w14:textId="6BA40A86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</w:rPr>
              <w:t>Transiciones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epidemiológicas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migraciones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esenciales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disrupciones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desde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poblaciones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laborales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agrícolas</w:t>
            </w:r>
            <w:proofErr w:type="spellEnd"/>
            <w:r>
              <w:rPr>
                <w:rFonts w:ascii="Calibri" w:hAnsi="Calibri" w:cs="Calibri"/>
              </w:rPr>
              <w:t xml:space="preserve"> Sur-Sur.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C7BD" w14:textId="0F34AB5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CONAHCYT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A788" w14:textId="3E34E22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222,750.00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C847" w14:textId="0DD5B20A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137,891.86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044A" w14:textId="28A8B681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19/06/2023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6312" w14:textId="6B6E292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30/11/2026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A1B9" w14:textId="7C2EF2BF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1D88" w14:textId="30238133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García Ortega Martha</w:t>
            </w:r>
          </w:p>
        </w:tc>
      </w:tr>
      <w:tr w:rsidR="00EF08C5" w:rsidRPr="00ED52FA" w14:paraId="3291A557" w14:textId="77777777" w:rsidTr="00EF08C5">
        <w:trPr>
          <w:trHeight w:val="94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9567C" w14:textId="729E21C3" w:rsidR="00EF08C5" w:rsidRPr="00ED52FA" w:rsidRDefault="00EF08C5" w:rsidP="00EF08C5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Efecto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transición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una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comprada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microbiota intestinal y </w:t>
            </w:r>
            <w:proofErr w:type="spellStart"/>
            <w:r>
              <w:rPr>
                <w:rFonts w:ascii="Calibri" w:hAnsi="Calibri" w:cs="Calibri"/>
                <w:color w:val="000000"/>
              </w:rPr>
              <w:t>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metabolismo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menores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36 meses en zonas rurales de Yucatán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A3A" w14:textId="37822B0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CONAHCYT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FB1E" w14:textId="5A1BED5E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225,000.00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82A4" w14:textId="7C6E10C7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26,814.12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820" w14:textId="5D204616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30/06/2023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8B4" w14:textId="3A2D9B8D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29/06/2026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3C81" w14:textId="02B536BC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F5E8" w14:textId="7D017AD9" w:rsidR="00EF08C5" w:rsidRPr="00ED52FA" w:rsidRDefault="00EF08C5" w:rsidP="00EF08C5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Gurri García Francisco Delfín</w:t>
            </w:r>
          </w:p>
        </w:tc>
      </w:tr>
    </w:tbl>
    <w:p w14:paraId="69C030D6" w14:textId="77777777" w:rsidR="00EF08C5" w:rsidRPr="00EF08C5" w:rsidRDefault="00EF08C5" w:rsidP="00EF08C5">
      <w:pPr>
        <w:pStyle w:val="Prrafodelista"/>
        <w:tabs>
          <w:tab w:val="left" w:pos="4155"/>
        </w:tabs>
        <w:ind w:left="1428"/>
        <w:rPr>
          <w:rFonts w:ascii="Montserrat" w:hAnsi="Montserrat"/>
          <w:sz w:val="20"/>
          <w:szCs w:val="20"/>
        </w:rPr>
      </w:pPr>
    </w:p>
    <w:p w14:paraId="66EFC5E8" w14:textId="77777777" w:rsidR="00E07E43" w:rsidRPr="00E07E43" w:rsidRDefault="00E07E43" w:rsidP="00E07E43">
      <w:pPr>
        <w:pStyle w:val="Prrafodelista"/>
        <w:tabs>
          <w:tab w:val="left" w:pos="4155"/>
        </w:tabs>
        <w:ind w:left="1428"/>
        <w:rPr>
          <w:rFonts w:ascii="Montserrat" w:hAnsi="Montserrat"/>
          <w:sz w:val="20"/>
          <w:szCs w:val="20"/>
        </w:rPr>
      </w:pPr>
    </w:p>
    <w:p w14:paraId="63475319" w14:textId="77777777" w:rsidR="00E07E43" w:rsidRPr="00E07E43" w:rsidRDefault="00E07E43" w:rsidP="00E07E43">
      <w:pPr>
        <w:pStyle w:val="Prrafodelista"/>
        <w:tabs>
          <w:tab w:val="left" w:pos="4155"/>
        </w:tabs>
        <w:ind w:left="1428"/>
        <w:rPr>
          <w:rFonts w:ascii="Montserrat" w:hAnsi="Montserrat"/>
          <w:sz w:val="20"/>
          <w:szCs w:val="20"/>
        </w:rPr>
      </w:pPr>
    </w:p>
    <w:p w14:paraId="7198352D" w14:textId="77777777" w:rsidR="00E07E43" w:rsidRDefault="00E07E43" w:rsidP="00E07E43">
      <w:pPr>
        <w:pStyle w:val="Prrafodelista"/>
        <w:tabs>
          <w:tab w:val="left" w:pos="4155"/>
        </w:tabs>
        <w:ind w:left="1428"/>
        <w:rPr>
          <w:rFonts w:ascii="Montserrat" w:hAnsi="Montserrat"/>
          <w:sz w:val="20"/>
          <w:szCs w:val="20"/>
        </w:rPr>
      </w:pPr>
    </w:p>
    <w:p w14:paraId="787B291B" w14:textId="77777777" w:rsidR="00E07E43" w:rsidRDefault="00E07E43" w:rsidP="00E07E43">
      <w:pPr>
        <w:pStyle w:val="Prrafodelista"/>
        <w:tabs>
          <w:tab w:val="left" w:pos="4155"/>
        </w:tabs>
        <w:ind w:left="1428"/>
        <w:rPr>
          <w:rFonts w:ascii="Montserrat" w:hAnsi="Montserrat"/>
          <w:sz w:val="20"/>
          <w:szCs w:val="20"/>
        </w:rPr>
      </w:pPr>
    </w:p>
    <w:p w14:paraId="15664D2F" w14:textId="77777777" w:rsidR="00E07E43" w:rsidRPr="00E07E43" w:rsidRDefault="00E07E43" w:rsidP="00E07E43">
      <w:pPr>
        <w:pStyle w:val="Prrafodelista"/>
        <w:tabs>
          <w:tab w:val="left" w:pos="4155"/>
        </w:tabs>
        <w:ind w:left="1428"/>
        <w:rPr>
          <w:rFonts w:ascii="Montserrat" w:hAnsi="Montserrat"/>
          <w:sz w:val="20"/>
          <w:szCs w:val="20"/>
        </w:rPr>
      </w:pPr>
    </w:p>
    <w:p w14:paraId="4B9918F6" w14:textId="424BD0DB" w:rsidR="0081702D" w:rsidRPr="00691FEA" w:rsidRDefault="0081702D" w:rsidP="0081702D">
      <w:pPr>
        <w:pStyle w:val="Prrafodelista"/>
        <w:numPr>
          <w:ilvl w:val="0"/>
          <w:numId w:val="5"/>
        </w:numPr>
        <w:tabs>
          <w:tab w:val="left" w:pos="4155"/>
        </w:tabs>
        <w:rPr>
          <w:rFonts w:ascii="Montserrat" w:hAnsi="Montserrat"/>
          <w:sz w:val="20"/>
          <w:szCs w:val="20"/>
        </w:rPr>
      </w:pPr>
      <w:r w:rsidRPr="00691FEA">
        <w:rPr>
          <w:rFonts w:ascii="Montserrat" w:hAnsi="Montserrat"/>
          <w:b/>
          <w:sz w:val="20"/>
          <w:szCs w:val="20"/>
        </w:rPr>
        <w:lastRenderedPageBreak/>
        <w:t>Relación de Proyectos Sustantivos apoyados concluidos</w:t>
      </w:r>
    </w:p>
    <w:p w14:paraId="4B5F7892" w14:textId="77777777" w:rsidR="0081702D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p w14:paraId="71C219E3" w14:textId="77777777" w:rsidR="0081702D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tbl>
      <w:tblPr>
        <w:tblW w:w="50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31"/>
        <w:gridCol w:w="1309"/>
        <w:gridCol w:w="1309"/>
        <w:gridCol w:w="4335"/>
        <w:gridCol w:w="1269"/>
        <w:gridCol w:w="1631"/>
      </w:tblGrid>
      <w:tr w:rsidR="0099756E" w:rsidRPr="00482A23" w14:paraId="65E3A749" w14:textId="77777777" w:rsidTr="0061402B">
        <w:trPr>
          <w:trHeight w:val="106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7FE85B4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NOMBRE DEL PROYECTO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A5C1745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 xml:space="preserve">FUENTE DE FINANCIAMIENTO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9F5737A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RECURSOS RECIBIDOS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85BFF1D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RECURSOS EJERCIDOS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C56D5AC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RESULTADOS OBTENIDOS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0A501508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val="es-MX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val="es-MX"/>
              </w:rPr>
              <w:t>FECHAS DE INCIO Y FIN DEL PROYECTO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D439CD0" w14:textId="77777777" w:rsidR="0081702D" w:rsidRPr="00482A23" w:rsidRDefault="0081702D" w:rsidP="00283F8D">
            <w:pPr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</w:pPr>
            <w:r w:rsidRPr="00482A23">
              <w:rPr>
                <w:rFonts w:ascii="Montserrat" w:hAnsi="Montserrat"/>
                <w:b/>
                <w:bCs/>
                <w:color w:val="FFFFFF"/>
                <w:sz w:val="16"/>
                <w:szCs w:val="16"/>
              </w:rPr>
              <w:t>RESPONSABLE</w:t>
            </w:r>
          </w:p>
        </w:tc>
      </w:tr>
      <w:tr w:rsidR="00EF08C5" w:rsidRPr="00482A23" w14:paraId="0AB374B8" w14:textId="77777777" w:rsidTr="00E07E43">
        <w:trPr>
          <w:trHeight w:val="386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7F8C" w14:textId="34B46B7B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aprendizaje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práctica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</w:rPr>
              <w:t>contribuyendo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los </w:t>
            </w:r>
            <w:proofErr w:type="spellStart"/>
            <w:r>
              <w:rPr>
                <w:rFonts w:ascii="Arial" w:hAnsi="Arial" w:cs="Arial"/>
                <w:color w:val="000000"/>
              </w:rPr>
              <w:t>territorios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agroecológicos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desde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mercadeo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comunitario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0A82" w14:textId="44B30E1E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Community Agroecology NetWork (CAN)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DF3E" w14:textId="0128F023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2,769,716.54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01F8" w14:textId="1A91111C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2,659,823.65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B686" w14:textId="4A4A20F6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ofrecimos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constituyó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diplomado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avalado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Contínua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ECOSUR. 89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aproximadamente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mitad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completaron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suficientes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recibir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diploma.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Formaron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grupos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comercializar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agrícolas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apícolas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avícolas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herbolarias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artesanales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familias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Cada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grupo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plan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llevar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mercado,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tomando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cuenta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sustentabilidad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coordinación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grupo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precios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justos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relaciones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consumidores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mercadeo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diversos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medios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Anticipamos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seguirán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movilizando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economías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fundamentadas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cuidado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tierra y de las personas,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Esperamos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además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ejemplos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creados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sirvan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inspiración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Las 7 OSC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colaboradoras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fortalecieron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estrategias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acompañar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particular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relación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economía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comercialización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agroecológica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5954" w14:textId="18DF4EC8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25/08/2020 - 24/08/2023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1C1" w14:textId="49DDFC83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Ferguson Bruce Gordon</w:t>
            </w:r>
          </w:p>
        </w:tc>
      </w:tr>
      <w:tr w:rsidR="00EF08C5" w:rsidRPr="00482A23" w14:paraId="0BE06391" w14:textId="77777777" w:rsidTr="00E07E43">
        <w:trPr>
          <w:trHeight w:val="231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4E3" w14:textId="642D0DB9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Fortalecimiento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plataformas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observación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tierra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sureste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 para </w:t>
            </w:r>
            <w:proofErr w:type="spellStart"/>
            <w:r>
              <w:rPr>
                <w:rFonts w:ascii="Arial" w:hAnsi="Arial" w:cs="Arial"/>
                <w:color w:val="000000"/>
              </w:rPr>
              <w:t>apoyar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metas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mitigación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</w:rPr>
              <w:t>cambio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climático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EB39" w14:textId="2F744DC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ECOMETRICA LTD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E3D7" w14:textId="1BD8570F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4,373,001.88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8BCA" w14:textId="5590A1C8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4,219,918.84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8AC" w14:textId="289B4C8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cartografía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estadísticos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generados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decisiones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dentro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Gobiernos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Chiapas y Campeche.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mapas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zonificación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forestal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monitorear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ordenamientos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territoriales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municipales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E007" w14:textId="68D291FB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01/01/2021 - 31/1282021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724B" w14:textId="71372EF6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Castillo Santiago Miguel Angel</w:t>
            </w:r>
          </w:p>
        </w:tc>
      </w:tr>
      <w:tr w:rsidR="00EF08C5" w:rsidRPr="00482A23" w14:paraId="5ED2D6EA" w14:textId="77777777" w:rsidTr="00E07E43">
        <w:trPr>
          <w:trHeight w:val="1187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D9E" w14:textId="6D1178F8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Diversidad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funcional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taxonómica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las </w:t>
            </w:r>
            <w:proofErr w:type="spellStart"/>
            <w:r>
              <w:rPr>
                <w:rFonts w:ascii="Arial" w:hAnsi="Arial" w:cs="Arial"/>
                <w:color w:val="000000"/>
              </w:rPr>
              <w:t>aves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</w:rPr>
              <w:t>paisajes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antrópicos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región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los altos de Chiapas.   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2C39" w14:textId="525AA79F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The Rufford Foundation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124" w14:textId="7ADD5D65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96,000.00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1447" w14:textId="1954D558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93,050.02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53D" w14:textId="668948F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altos de Chiapas 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considerada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diversidad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bosques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montaña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encuentran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dinámica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bosques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sistemas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tiene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beneficio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directo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familias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terrenos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sin embargo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conversión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ocasiona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pérdida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diversidad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cambios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estructura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poblaciones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especies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ocasionando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pérdida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funcionamiento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elementos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componen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bosques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manera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natural.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intentando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promover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ambientes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través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ambiental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distintos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grupos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bosques.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C689" w14:textId="3BC01354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01/06/2022 - 30/06/2023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6A82" w14:textId="52B245D2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Navarrete Gutiérrez Darío Alejandro</w:t>
            </w:r>
          </w:p>
        </w:tc>
      </w:tr>
      <w:tr w:rsidR="00EF08C5" w:rsidRPr="00482A23" w14:paraId="19BDF1E0" w14:textId="77777777" w:rsidTr="007D2B1A">
        <w:trPr>
          <w:trHeight w:val="141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380" w14:textId="1C2D6DFF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Juventudes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las </w:t>
            </w:r>
            <w:proofErr w:type="spellStart"/>
            <w:r>
              <w:rPr>
                <w:rFonts w:ascii="Arial" w:hAnsi="Arial" w:cs="Arial"/>
                <w:color w:val="000000"/>
              </w:rPr>
              <w:t>comunidades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pesqueras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construcción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iniciativas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locales y </w:t>
            </w:r>
            <w:proofErr w:type="spellStart"/>
            <w:r>
              <w:rPr>
                <w:rFonts w:ascii="Arial" w:hAnsi="Arial" w:cs="Arial"/>
                <w:color w:val="000000"/>
              </w:rPr>
              <w:t>soluciones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color w:val="000000"/>
              </w:rPr>
              <w:t>sostenibilidad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pesquerías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pequeña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escala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México.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4C7F" w14:textId="15E187E9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Biodiversidad</w:t>
            </w:r>
            <w:proofErr w:type="spellEnd"/>
            <w:r>
              <w:rPr>
                <w:rFonts w:ascii="Arial" w:hAnsi="Arial" w:cs="Arial"/>
                <w:color w:val="000000"/>
              </w:rPr>
              <w:t>, A.C. (COBI)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5331" w14:textId="0827B8EF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458,000.00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5B56" w14:textId="76EE60A5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457,983.71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D898" w14:textId="31FE802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consolidó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identidad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jóvenes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pesquera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intercambios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posibilitaron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mejora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1DB4" w14:textId="0B86DBFE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12/07/2022 - 15/02/2023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5E1B" w14:textId="4FB25CDD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Saldívar Moreno Antonio</w:t>
            </w:r>
          </w:p>
        </w:tc>
      </w:tr>
      <w:tr w:rsidR="00EF08C5" w:rsidRPr="00482A23" w14:paraId="62455D5E" w14:textId="77777777" w:rsidTr="00E07E43">
        <w:trPr>
          <w:trHeight w:val="608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D77" w14:textId="08A16FF7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Evaluación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plantaciones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forestales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experimentales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mercado de dos </w:t>
            </w:r>
            <w:proofErr w:type="spellStart"/>
            <w:r>
              <w:rPr>
                <w:rFonts w:ascii="Arial" w:hAnsi="Arial" w:cs="Arial"/>
                <w:color w:val="000000"/>
              </w:rPr>
              <w:t>variedades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Ochroma </w:t>
            </w:r>
            <w:proofErr w:type="spellStart"/>
            <w:r>
              <w:rPr>
                <w:rFonts w:ascii="Arial" w:hAnsi="Arial" w:cs="Arial"/>
                <w:color w:val="000000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trópico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húmedo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Chiapas y Campeche.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5D3" w14:textId="34511CDD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CONAHCYT-FORDECYT-PRONACES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6017" w14:textId="26CD24BA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390,678.00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344A" w14:textId="2706B044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390,678.00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DDF" w14:textId="46A4D92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proporciona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algunas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evidencias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comparativos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crecimiento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bianual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variedades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condiciones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edáficas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favorables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establecimiento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plantaciones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comerciales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resultados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indican que O.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var. bicolor,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variedad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mejor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crecimiento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presentó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sin embargo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requiere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condiciones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singulares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plántulas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sobrevivieron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dos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localidades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parece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resaltar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reconocen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claramente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variantes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especie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O.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typica y O.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bicolor. Lo anterior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responde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mundialmente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documentadas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plantaciones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balsa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hacen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especie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Ochroma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(Ca. Ex Lam.). Es probable que O.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típica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sea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variedad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utiliza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frecuencia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latitudes y que O.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pyramidale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bicolor sea poco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conocida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inadvertida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aprovechamiento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comercial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nivel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internacional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Lo anterior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posicionaría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nuestro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país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 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particular a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silvicultores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chiapanecos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condición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privilegiada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promover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cultivo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variedad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balsa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rápido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crecimiento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 probable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poco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conocida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D654" w14:textId="3D2A71D9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06/11/2020 - 06/11/2022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E7A" w14:textId="205E67C7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Levy Tacher Samuel Israel</w:t>
            </w:r>
          </w:p>
        </w:tc>
      </w:tr>
      <w:tr w:rsidR="00EF08C5" w:rsidRPr="00482A23" w14:paraId="21206F1B" w14:textId="77777777" w:rsidTr="007D2B1A">
        <w:trPr>
          <w:trHeight w:val="141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D131" w14:textId="60BFFDE1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Impacto del </w:t>
            </w:r>
            <w:proofErr w:type="spellStart"/>
            <w:r>
              <w:rPr>
                <w:rFonts w:ascii="Arial" w:hAnsi="Arial" w:cs="Arial"/>
                <w:color w:val="000000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</w:rPr>
              <w:t>plaguicidas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los </w:t>
            </w:r>
            <w:proofErr w:type="spellStart"/>
            <w:r>
              <w:rPr>
                <w:rFonts w:ascii="Arial" w:hAnsi="Arial" w:cs="Arial"/>
                <w:color w:val="000000"/>
              </w:rPr>
              <w:t>cultivos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genéticamente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modificados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utilizados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agricultura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altamente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tecnificada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diversidad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insectos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polinizadores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seis regiones de México.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09CF" w14:textId="407B909B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CONAHCYT - SEMARNAT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2F33" w14:textId="5F676B6A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788,850.00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B208" w14:textId="1D90AAEF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440,729.52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DC6F" w14:textId="51FA5C1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terminacion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anticipada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6E29" w14:textId="0CAC4404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08/01/2020- 30/06/2021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A95" w14:textId="47B9F684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Vandame Remy Benoit Marie</w:t>
            </w:r>
          </w:p>
        </w:tc>
      </w:tr>
      <w:tr w:rsidR="00EF08C5" w:rsidRPr="00482A23" w14:paraId="0813BE8B" w14:textId="77777777" w:rsidTr="008F569D">
        <w:trPr>
          <w:trHeight w:val="141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DD81" w14:textId="5D027394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Distribución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dinámica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poblacional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escarabajos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exóticos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invasores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ante </w:t>
            </w:r>
            <w:proofErr w:type="spellStart"/>
            <w:r>
              <w:rPr>
                <w:rFonts w:ascii="Arial" w:hAnsi="Arial" w:cs="Arial"/>
                <w:color w:val="000000"/>
              </w:rPr>
              <w:t>escenarios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cambio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climático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en el sur de México.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A79" w14:textId="70E57EF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CONAHCYT - SEMARNAT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6147" w14:textId="2F43A411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285,147.28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B28" w14:textId="50F9E2C9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284,862.82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99E" w14:textId="1D7E2538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terminacion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anticipada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954F" w14:textId="0B6693EA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08/01/2020 - 30/07/2021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A22F" w14:textId="79451ED1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León Cortés Jorge Leonel</w:t>
            </w:r>
          </w:p>
        </w:tc>
      </w:tr>
      <w:tr w:rsidR="00EF08C5" w:rsidRPr="00482A23" w14:paraId="6714C899" w14:textId="77777777" w:rsidTr="00E07E43">
        <w:trPr>
          <w:trHeight w:val="1412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8953" w14:textId="6BBC3B93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Manejo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colonia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cría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masiva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color w:val="000000"/>
              </w:rPr>
              <w:t>aplicación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TIE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moscas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fruta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</w:rPr>
              <w:t>género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anastrepha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2326" w14:textId="2F4655C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Organismo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Internacional de Energía </w:t>
            </w:r>
            <w:proofErr w:type="spellStart"/>
            <w:r>
              <w:rPr>
                <w:rFonts w:ascii="Arial" w:hAnsi="Arial" w:cs="Arial"/>
                <w:color w:val="000000"/>
              </w:rPr>
              <w:t>Atómica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3528" w14:textId="3855E2B3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795,514.16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CE4" w14:textId="51E6CF55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761,110.04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3D1C" w14:textId="1EACD5B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estrategias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manejo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colonia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podrán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implementarse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moscas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estériles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Metapa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Chiapas. 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insectos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estériles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ahí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tendrán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mejor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desempeño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campo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hará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TIE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efectiva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eficiente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0C53" w14:textId="678F54D2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12/04/2018 - 11/04/2023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ABFD" w14:textId="00B5F4D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Liedo Fernández José Pablo</w:t>
            </w:r>
          </w:p>
        </w:tc>
      </w:tr>
      <w:tr w:rsidR="00EF08C5" w:rsidRPr="00482A23" w14:paraId="3F9A17BC" w14:textId="77777777" w:rsidTr="00E07E43">
        <w:trPr>
          <w:trHeight w:val="1412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E8F" w14:textId="5F7F0CA3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Cartografias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complejidad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transfronteriza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Puentes entre Frontera Sur 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9C8" w14:textId="2814A0F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 CONAHCYT-UC MEXUS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5297" w14:textId="3A6FB0D8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181,055.09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11AB" w14:textId="69E02023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180,828.00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AA68" w14:textId="563DDE77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habilitación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propuesta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metodologica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movilidades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zona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puede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 replicable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contextos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vinculación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transversal entre academia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nacional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extranjera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sociedad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civil,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espacios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ayuda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humanitaria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personas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movilidad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sur de México.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habilitación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diversos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auditivos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sonoros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cartográficos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pueden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accesibles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habilitación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un geoportal.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Posicionar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ECOSUR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centro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enseñanza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propuestas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metodologicas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categorias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conceptuales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tiempo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actual.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3717" w14:textId="1E8C6FD2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01/04/2021 - 30/09/2023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8FF" w14:textId="0CAA970C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Porraz Gómez Iván Francisco</w:t>
            </w:r>
          </w:p>
        </w:tc>
      </w:tr>
      <w:tr w:rsidR="00EF08C5" w:rsidRPr="00482A23" w14:paraId="1C95E2BA" w14:textId="77777777" w:rsidTr="008F569D">
        <w:trPr>
          <w:trHeight w:val="141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91B" w14:textId="07714CF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Evaluación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integral de los </w:t>
            </w:r>
            <w:proofErr w:type="spellStart"/>
            <w:r>
              <w:rPr>
                <w:rFonts w:ascii="Arial" w:hAnsi="Arial" w:cs="Arial"/>
                <w:color w:val="000000"/>
              </w:rPr>
              <w:t>cambios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servicios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ecosistémicos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biodiversidad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medios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vida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esperados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; bajo </w:t>
            </w:r>
            <w:proofErr w:type="spellStart"/>
            <w:r>
              <w:rPr>
                <w:rFonts w:ascii="Arial" w:hAnsi="Arial" w:cs="Arial"/>
                <w:color w:val="000000"/>
              </w:rPr>
              <w:t>distintos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escenarios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cambios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suelo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</w:rPr>
              <w:t>principales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territorios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cafetaleros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2270" w14:textId="20A2CD57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Instituto de Ecología, A.C.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1686" w14:textId="20AC5720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462,320.00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BD6" w14:textId="0E973C45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276,212.01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601" w14:textId="5AEFEE2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posibles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impactos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ambientales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socioeconómicos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diferentes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escenarios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futuros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diferentes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estrategias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procesamiento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comercialización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café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México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permitirá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sector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productivo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gubernamental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orienten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políticas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reducir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efectos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negativos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intensiva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café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capital natural.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879" w14:textId="418FDB6E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04/10/2021 / 30/01/2023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20D8" w14:textId="46E1EA92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Barrera Gaytán Juan Francisco</w:t>
            </w:r>
          </w:p>
        </w:tc>
      </w:tr>
      <w:tr w:rsidR="00EF08C5" w:rsidRPr="00482A23" w14:paraId="6950361F" w14:textId="77777777" w:rsidTr="00E07E43">
        <w:trPr>
          <w:trHeight w:val="217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18B" w14:textId="63F0B42F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Servicio de </w:t>
            </w:r>
            <w:proofErr w:type="spellStart"/>
            <w:r>
              <w:rPr>
                <w:rFonts w:ascii="Arial" w:hAnsi="Arial" w:cs="Arial"/>
                <w:color w:val="000000"/>
              </w:rPr>
              <w:t>determinación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viabilidad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plugs de 2g de </w:t>
            </w:r>
            <w:proofErr w:type="spellStart"/>
            <w:r>
              <w:rPr>
                <w:rFonts w:ascii="Arial" w:hAnsi="Arial" w:cs="Arial"/>
                <w:color w:val="000000"/>
              </w:rPr>
              <w:t>trimedlure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cebo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trampas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E26A" w14:textId="243D646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SENASICA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CC28" w14:textId="6241FB37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12,165.54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799" w14:textId="184F5C7A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12,165.54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4C9F" w14:textId="379B7296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útil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trampeo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Moscamed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7C4" w14:textId="6187BC28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03/05/2021 - 31/12/2021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B22D" w14:textId="2F4A384D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Malo Rivera Edi Alvaro</w:t>
            </w:r>
          </w:p>
        </w:tc>
      </w:tr>
      <w:tr w:rsidR="00EF08C5" w:rsidRPr="00482A23" w14:paraId="61A05F29" w14:textId="77777777" w:rsidTr="00E07E43">
        <w:trPr>
          <w:trHeight w:val="132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31EE" w14:textId="4D5EBFC8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Análisis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feromona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residual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interrupción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copula del </w:t>
            </w:r>
            <w:proofErr w:type="spellStart"/>
            <w:r>
              <w:rPr>
                <w:rFonts w:ascii="Arial" w:hAnsi="Arial" w:cs="Arial"/>
                <w:color w:val="000000"/>
              </w:rPr>
              <w:t>gusano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cogollero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C2A" w14:textId="46F04561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PROVIVI PHEROMONES DE MEXICO, S. A. DE C. V.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95E4" w14:textId="0AA27F65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594,005.52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57B" w14:textId="16FE0169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545,201.24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6781" w14:textId="2988EA12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resultados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impactan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intereses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planes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empresa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610" w14:textId="04886E9D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01/09/2022 - 30/062023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AAB9" w14:textId="010827C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Malo Rivera Edi Alvaro</w:t>
            </w:r>
          </w:p>
        </w:tc>
      </w:tr>
      <w:tr w:rsidR="00EF08C5" w:rsidRPr="00482A23" w14:paraId="79CB8FAD" w14:textId="77777777" w:rsidTr="00E07E43">
        <w:trPr>
          <w:trHeight w:val="1033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D92" w14:textId="30E9926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Marcos </w:t>
            </w:r>
            <w:proofErr w:type="spellStart"/>
            <w:r>
              <w:rPr>
                <w:rFonts w:ascii="Arial" w:hAnsi="Arial" w:cs="Arial"/>
                <w:color w:val="000000"/>
              </w:rPr>
              <w:t>normativos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morales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</w:rPr>
              <w:t>prácticas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los derechos </w:t>
            </w:r>
            <w:proofErr w:type="spellStart"/>
            <w:r>
              <w:rPr>
                <w:rFonts w:ascii="Arial" w:hAnsi="Arial" w:cs="Arial"/>
                <w:color w:val="000000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atención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la población </w:t>
            </w:r>
            <w:proofErr w:type="spellStart"/>
            <w:r>
              <w:rPr>
                <w:rFonts w:ascii="Arial" w:hAnsi="Arial" w:cs="Arial"/>
                <w:color w:val="000000"/>
              </w:rPr>
              <w:t>migrante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frontera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sur de México. Segunda </w:t>
            </w:r>
            <w:proofErr w:type="spellStart"/>
            <w:r>
              <w:rPr>
                <w:rFonts w:ascii="Arial" w:hAnsi="Arial" w:cs="Arial"/>
                <w:color w:val="000000"/>
              </w:rPr>
              <w:t>etapa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0689" w14:textId="0BA1F587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CONAHCYT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035" w14:textId="5F54E9EF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147,194.00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450" w14:textId="579F6C9F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147,194.00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C97D" w14:textId="55BC112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 que se ha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logrado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mostrar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ambigüedad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significan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instrumentos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operativos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reglamentos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falta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infraestructura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capacidad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general para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principios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terreno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movilidad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frontera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sur de México.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logró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resaltar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moralidad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práctica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 tanto, de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construcción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intersubjetiva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Es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mostrar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límite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principio universal que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respeten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contexto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socio cultural, temporal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espacial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cumplió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plantear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límite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principio “universal” y “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población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migrante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centralidad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Estado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tienen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ambos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temas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migración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contradicción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 algo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inherente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finalmente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intereses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Estado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privilegian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consecuencia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discurso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“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controlar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a las personas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migrantes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Dqe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forma,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logró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sugerir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mayor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detenimiento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dificultades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operativas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enfrenta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personal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administrativo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nivel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local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planear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mecanismos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funcionales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Entender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cómo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entiende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cómo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práctica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garantía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“los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primero paso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moralidad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las personas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planteamiento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Si no hay base moral, 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habrá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efectividad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reglamentos</w:t>
            </w:r>
            <w:proofErr w:type="spellEnd"/>
            <w:r w:rsidR="008F569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surgen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sólo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instrumentos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jurídicos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internacionales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son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resultado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interacción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ética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moral de las personas. Pero, lo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queda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respuesta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 que, ¿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qué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al final del día,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dicho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principio “universal”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depender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las personas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obligación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moral? Y 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aquí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donde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seguir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reflexionando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cómo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funcionan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cuál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significado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prácticas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situ.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presente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contribuyó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abrir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espacio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repensar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alcance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paradigma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“derechos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humanos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”,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discusión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académica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plazo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seguir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cuestionando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alcance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paradigma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B45" w14:textId="7EDE0A27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03/05/2023 - 30/11/2023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0C02" w14:textId="27387B59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Kuromiya Aki</w:t>
            </w:r>
          </w:p>
        </w:tc>
      </w:tr>
      <w:tr w:rsidR="00EF08C5" w:rsidRPr="00482A23" w14:paraId="333CEE41" w14:textId="77777777" w:rsidTr="007D2B1A">
        <w:trPr>
          <w:trHeight w:val="620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760" w14:textId="3CE0BE81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Impartición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</w:rPr>
              <w:t>diplomado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</w:rPr>
              <w:t>medios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comunicación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(Lagunas de las </w:t>
            </w:r>
            <w:proofErr w:type="spellStart"/>
            <w:r>
              <w:rPr>
                <w:rFonts w:ascii="Arial" w:hAnsi="Arial" w:cs="Arial"/>
                <w:color w:val="000000"/>
              </w:rPr>
              <w:t>Ilusiones</w:t>
            </w:r>
            <w:proofErr w:type="spellEnd"/>
            <w:r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14DF" w14:textId="4D5965E3" w:rsidR="00EF08C5" w:rsidRPr="00482A23" w:rsidRDefault="00E07E43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EF08C5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EF08C5">
              <w:rPr>
                <w:rFonts w:ascii="Arial" w:hAnsi="Arial" w:cs="Arial"/>
                <w:color w:val="000000"/>
              </w:rPr>
              <w:t>Ayuntamiento</w:t>
            </w:r>
            <w:proofErr w:type="spellEnd"/>
            <w:r w:rsidR="00EF08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F08C5">
              <w:rPr>
                <w:rFonts w:ascii="Arial" w:hAnsi="Arial" w:cs="Arial"/>
                <w:color w:val="000000"/>
              </w:rPr>
              <w:t>Constitucional</w:t>
            </w:r>
            <w:proofErr w:type="spellEnd"/>
            <w:r w:rsidR="00EF08C5">
              <w:rPr>
                <w:rFonts w:ascii="Arial" w:hAnsi="Arial" w:cs="Arial"/>
                <w:color w:val="000000"/>
              </w:rPr>
              <w:t xml:space="preserve"> del Municipio del Centro, Tabasco del Centro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5E12" w14:textId="350EEA18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40,000.00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8EB6" w14:textId="18375F0E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40,000.00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C279" w14:textId="1F4668BD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capacitar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medios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Estado de Tabasco,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siendo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objetivo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principal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correcto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algunos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términos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técnico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científico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además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destacar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tiene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Laguna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Ilusiones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6278" w14:textId="6B2CED87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21/04/2022 - 31/08/2023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625" w14:textId="35A15033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Ramos Reyes Rodimiro</w:t>
            </w:r>
          </w:p>
        </w:tc>
      </w:tr>
      <w:tr w:rsidR="00EF08C5" w:rsidRPr="00482A23" w14:paraId="334B38D9" w14:textId="77777777" w:rsidTr="007D2B1A">
        <w:trPr>
          <w:trHeight w:val="217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459" w14:textId="088E8D9F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Monitoreo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Ciencia </w:t>
            </w:r>
            <w:proofErr w:type="spellStart"/>
            <w:r>
              <w:rPr>
                <w:rFonts w:ascii="Arial" w:hAnsi="Arial" w:cs="Arial"/>
                <w:color w:val="000000"/>
              </w:rPr>
              <w:t>Ciudadana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Conservación de </w:t>
            </w:r>
            <w:proofErr w:type="spellStart"/>
            <w:r>
              <w:rPr>
                <w:rFonts w:ascii="Arial" w:hAnsi="Arial" w:cs="Arial"/>
                <w:color w:val="000000"/>
              </w:rPr>
              <w:t>Humedales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Villahermosa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0EB" w14:textId="5FDBBF1D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H. </w:t>
            </w:r>
            <w:proofErr w:type="spellStart"/>
            <w:r>
              <w:rPr>
                <w:rFonts w:ascii="Arial" w:hAnsi="Arial" w:cs="Arial"/>
                <w:color w:val="000000"/>
              </w:rPr>
              <w:t>Ayuntamiento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Constitucional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Municipio del Centro, Tabasco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CEE4" w14:textId="0C3F97C6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250,000.00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186" w14:textId="7EAE5168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250,000.00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C5A" w14:textId="0075F1C1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construcción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posterior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aplicación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seguimiento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indicadores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evidenció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creciente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preocupación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humedal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ecosistema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a la par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tiene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potencialidades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recuperación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servicios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ambientales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también 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escenario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problemas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sanitarios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sociales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causados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falta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ambiental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manejo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basura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residuos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sólidos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y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falta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ciudadana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seguimiento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recuperación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Esta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responsable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investigación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acierto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educativa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conciencia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política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intervención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estructurada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planificación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humedal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construcción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colectiva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monitoreo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seguimiento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control social de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humedal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urbano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involucrar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diferentes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niveles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comunicación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reflexión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donde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relevancia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diálogo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deliberación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colectiva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altamente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constructiva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4CA" w14:textId="47C82D0A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01/07/2023 - 01/03/2024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A6CA" w14:textId="6574ADC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Barba Macías Everardo</w:t>
            </w:r>
          </w:p>
        </w:tc>
      </w:tr>
      <w:tr w:rsidR="00EF08C5" w:rsidRPr="00482A23" w14:paraId="2ECC1897" w14:textId="77777777" w:rsidTr="008F569D">
        <w:trPr>
          <w:trHeight w:val="1329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AFC7" w14:textId="22B5506D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Las Lagunas </w:t>
            </w:r>
            <w:proofErr w:type="spellStart"/>
            <w:r>
              <w:rPr>
                <w:rFonts w:ascii="Arial" w:hAnsi="Arial" w:cs="Arial"/>
                <w:color w:val="000000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estrategias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regular </w:t>
            </w:r>
            <w:proofErr w:type="spellStart"/>
            <w:r>
              <w:rPr>
                <w:rFonts w:ascii="Arial" w:hAnsi="Arial" w:cs="Arial"/>
                <w:color w:val="000000"/>
              </w:rPr>
              <w:t>inundaciones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Municipio del Centro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420E" w14:textId="09E2BFFC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H. </w:t>
            </w:r>
            <w:proofErr w:type="spellStart"/>
            <w:r>
              <w:rPr>
                <w:rFonts w:ascii="Arial" w:hAnsi="Arial" w:cs="Arial"/>
                <w:color w:val="000000"/>
              </w:rPr>
              <w:t>Ayuntamiento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Constitucional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Municipio del Centro, Tabasco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7FA" w14:textId="5AEBCC76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273,750.00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5A4E" w14:textId="230FA143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273,750.00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F2C" w14:textId="29AA4B6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Sumamente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porque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tienen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contabilizadas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las lagunas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permanentes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temporales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tomar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decisiones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conservar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mantenimiento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regular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inundaciones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56DA" w14:textId="051A7905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01/07/2023 - 31/03/2024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90D6" w14:textId="63A171CE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Ramos Reyes Rodimiro</w:t>
            </w:r>
          </w:p>
        </w:tc>
      </w:tr>
      <w:tr w:rsidR="00EF08C5" w:rsidRPr="00482A23" w14:paraId="11A282B7" w14:textId="77777777" w:rsidTr="00E07E43">
        <w:trPr>
          <w:trHeight w:val="1362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8A8" w14:textId="4397E67E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Atlas de los </w:t>
            </w:r>
            <w:proofErr w:type="spellStart"/>
            <w:r>
              <w:rPr>
                <w:rFonts w:ascii="Arial" w:hAnsi="Arial" w:cs="Arial"/>
                <w:color w:val="000000"/>
              </w:rPr>
              <w:t>humedales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 sur-</w:t>
            </w:r>
            <w:proofErr w:type="spellStart"/>
            <w:r>
              <w:rPr>
                <w:rFonts w:ascii="Arial" w:hAnsi="Arial" w:cs="Arial"/>
                <w:color w:val="000000"/>
              </w:rPr>
              <w:t>sureste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sus </w:t>
            </w:r>
            <w:proofErr w:type="spellStart"/>
            <w:r>
              <w:rPr>
                <w:rFonts w:ascii="Arial" w:hAnsi="Arial" w:cs="Arial"/>
                <w:color w:val="000000"/>
              </w:rPr>
              <w:t>amenazas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1204" w14:textId="357256E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 xml:space="preserve">CONAHCYT-Universidad </w:t>
            </w:r>
            <w:proofErr w:type="spellStart"/>
            <w:r>
              <w:rPr>
                <w:rFonts w:ascii="Arial" w:hAnsi="Arial" w:cs="Arial"/>
                <w:color w:val="000000"/>
              </w:rPr>
              <w:t>Autónoma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Queretaro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0D40" w14:textId="7E7BA6D0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3,675,000.00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C5F" w14:textId="68BB78CA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3,358,994.64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68B" w14:textId="7B15C7B4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terminacion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anticipada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6120" w14:textId="0D9B3AEE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20/12/2019 - 20/12/2021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E169" w14:textId="17307DB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Barba Macías Everardo</w:t>
            </w:r>
          </w:p>
        </w:tc>
      </w:tr>
      <w:tr w:rsidR="00EF08C5" w:rsidRPr="00482A23" w14:paraId="54C8CC93" w14:textId="77777777" w:rsidTr="00E07E43">
        <w:trPr>
          <w:trHeight w:val="1409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3116" w14:textId="3A54041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Determinación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</w:rPr>
              <w:t>reservorios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Carbono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>
              <w:rPr>
                <w:rFonts w:ascii="Arial" w:hAnsi="Arial" w:cs="Arial"/>
                <w:color w:val="000000"/>
              </w:rPr>
              <w:t>tipos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selva.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F1A2" w14:textId="442CBC32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Plant for the Planet Foundation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A91E" w14:textId="033C909A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313,200.00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D8DD" w14:textId="45840D88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265,424.00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5E84" w14:textId="7607ECF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contribuye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entender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deforestación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selvas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bajas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estacionalmente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inundables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selvas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mediana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subperenifolias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reservorios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carbono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CBB1" w14:textId="291B2A1C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15/01/2023 -15/072023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1B2" w14:textId="122B2E3F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Macario Mendoza Pedro Antonio / López Martínez Jorge Omar</w:t>
            </w:r>
          </w:p>
        </w:tc>
      </w:tr>
      <w:tr w:rsidR="00EF08C5" w:rsidRPr="00482A23" w14:paraId="5825026B" w14:textId="77777777" w:rsidTr="008F569D">
        <w:trPr>
          <w:trHeight w:val="217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051C" w14:textId="1D99D199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Exploring marine energy for supplying a stable electrical demand and promoting the economic growth in local communities surrounding the Cozumel Channel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D79E" w14:textId="14AE9B68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CONAHCYT-</w:t>
            </w:r>
            <w:proofErr w:type="spellStart"/>
            <w:r>
              <w:rPr>
                <w:rFonts w:ascii="Arial" w:hAnsi="Arial" w:cs="Arial"/>
                <w:color w:val="000000"/>
              </w:rPr>
              <w:t>Secretar</w:t>
            </w:r>
            <w:r w:rsidR="008F569D">
              <w:rPr>
                <w:rFonts w:ascii="Arial" w:hAnsi="Arial" w:cs="Arial"/>
                <w:color w:val="000000"/>
              </w:rPr>
              <w:t>í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Energia-Universidad Nacional </w:t>
            </w:r>
            <w:proofErr w:type="spellStart"/>
            <w:r>
              <w:rPr>
                <w:rFonts w:ascii="Arial" w:hAnsi="Arial" w:cs="Arial"/>
                <w:color w:val="000000"/>
              </w:rPr>
              <w:t>Autónoma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México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9714" w14:textId="000C43B1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702,000.00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831B" w14:textId="718D7FB1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702,000.00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560F" w14:textId="5C689173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terminacion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anticipada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6095" w14:textId="32A0E2D6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26/07/2018 - 25/07/2019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F384" w14:textId="612B0175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Carrillo Bibriezca Laura Elena</w:t>
            </w:r>
          </w:p>
        </w:tc>
      </w:tr>
      <w:tr w:rsidR="00EF08C5" w:rsidRPr="00482A23" w14:paraId="59D4691C" w14:textId="77777777" w:rsidTr="008F569D">
        <w:trPr>
          <w:trHeight w:val="2175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C20E" w14:textId="49E3DDEA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Modelación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Paleoclimática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</w:rPr>
              <w:t>Península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Yucatán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831C" w14:textId="45C52FE0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</w:rPr>
              <w:t>CONAHCYT - SEP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6B7E" w14:textId="38CA845C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1,684,700.00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B98" w14:textId="4C448B0C" w:rsidR="00EF08C5" w:rsidRPr="00482A23" w:rsidRDefault="00EF08C5" w:rsidP="00EF08C5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1,684,700.00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4040" w14:textId="7C972C17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 ha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generado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nuevo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conocimiento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ambientes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antiguos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modernos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Península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Yucatán. 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geoquímico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sedimentos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Península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constituye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aportación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servicio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geológico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Nacional,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recientemente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 Atlas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incluye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PY,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tesis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maestría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doctorado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dirigidas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derivarán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mismas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constituyen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aportación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conocer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valores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naturaleza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litológica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sedimentos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suelos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PY. Esta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información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constituye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aporte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fundamental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poco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que 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cuenta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publicados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valores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fundamentales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establecer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futuras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investigaciones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contaminantes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efectos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ambiente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incorporación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modelación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Laguna Bacalar,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atendida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demanda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comunitaria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de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autoridades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tormenta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Cristóbal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dejo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importates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efectos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eutrofización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lo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provocó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alerta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población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académica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La laguna es uno de los sitios con mayor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cantidad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microbialitos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mundo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decidió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grupo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multidisciplinario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diversos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temas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investigación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geoquímica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además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incorporaron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fósiles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antiguos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sobre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posibles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eventos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similares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pasado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Esta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incorporación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contribuye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demandas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atención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comunidad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autoridades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Los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análisis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cuantitativos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modelaciones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geoestadísticas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constituyen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aporte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tanto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área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paleoambiental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moderna,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estudios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paleoecológicos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incluyen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análisis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las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publicaciones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tesis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tendrán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impacto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importante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área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conocimiento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primordialmente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descriptiva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medida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cuantitativa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9C69" w14:textId="4E835B4D" w:rsidR="00EF08C5" w:rsidRPr="00482A23" w:rsidRDefault="00EF08C5" w:rsidP="00EF08C5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12/07/2019- 02/08/2021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4B9" w14:textId="20527703" w:rsidR="00EF08C5" w:rsidRPr="00482A23" w:rsidRDefault="00EF08C5" w:rsidP="00EF08C5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Torrescano Valle Nuria</w:t>
            </w:r>
          </w:p>
        </w:tc>
      </w:tr>
    </w:tbl>
    <w:p w14:paraId="3E6807C2" w14:textId="77777777" w:rsidR="0081702D" w:rsidRPr="00477920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sectPr w:rsidR="0081702D" w:rsidRPr="00477920" w:rsidSect="00477920">
      <w:headerReference w:type="default" r:id="rId8"/>
      <w:footerReference w:type="default" r:id="rId9"/>
      <w:pgSz w:w="15840" w:h="12240" w:orient="landscape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8899" w14:textId="77777777" w:rsidR="009B7BFD" w:rsidRDefault="009B7BFD" w:rsidP="00711955">
      <w:r>
        <w:separator/>
      </w:r>
    </w:p>
  </w:endnote>
  <w:endnote w:type="continuationSeparator" w:id="0">
    <w:p w14:paraId="5E2363BD" w14:textId="77777777" w:rsidR="009B7BFD" w:rsidRDefault="009B7BFD" w:rsidP="0071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a">
    <w:altName w:val="Cambria"/>
    <w:panose1 w:val="00000000000000000000"/>
    <w:charset w:val="00"/>
    <w:family w:val="roman"/>
    <w:notTrueType/>
    <w:pitch w:val="default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ndara" w:hAnsi="Candara"/>
        <w:color w:val="A6A6A6" w:themeColor="background1" w:themeShade="A6"/>
        <w:sz w:val="18"/>
        <w:szCs w:val="18"/>
      </w:rPr>
      <w:id w:val="1850222632"/>
      <w:docPartObj>
        <w:docPartGallery w:val="Page Numbers (Bottom of Page)"/>
        <w:docPartUnique/>
      </w:docPartObj>
    </w:sdtPr>
    <w:sdtContent>
      <w:p w14:paraId="48956AF0" w14:textId="77777777" w:rsidR="004822B4" w:rsidRPr="009B69B7" w:rsidRDefault="004822B4" w:rsidP="005F47DD">
        <w:pPr>
          <w:pStyle w:val="Piedepgina"/>
          <w:jc w:val="center"/>
          <w:rPr>
            <w:rFonts w:ascii="Montserrat" w:hAnsi="Montserrat"/>
            <w:color w:val="A6A6A6" w:themeColor="background1" w:themeShade="A6"/>
            <w:sz w:val="18"/>
            <w:szCs w:val="18"/>
          </w:rPr>
        </w:pPr>
      </w:p>
      <w:p w14:paraId="27344B16" w14:textId="61946BE3" w:rsidR="004822B4" w:rsidRPr="009B69B7" w:rsidRDefault="004822B4" w:rsidP="008F569D">
        <w:pPr>
          <w:pStyle w:val="Piedepgina"/>
          <w:jc w:val="center"/>
          <w:rPr>
            <w:rFonts w:ascii="Montserrat" w:eastAsia="Batang" w:hAnsi="Montserrat"/>
            <w:b/>
            <w:i/>
            <w:color w:val="A6A6A6" w:themeColor="background1" w:themeShade="A6"/>
            <w:sz w:val="18"/>
            <w:szCs w:val="18"/>
          </w:rPr>
        </w:pPr>
        <w:r w:rsidRPr="00F449D7">
          <w:rPr>
            <w:rFonts w:ascii="Montserrat" w:eastAsia="Batang" w:hAnsi="Montserrat"/>
            <w:b/>
            <w:i/>
            <w:color w:val="A6A6A6" w:themeColor="background1" w:themeShade="A6"/>
            <w:sz w:val="18"/>
            <w:szCs w:val="18"/>
          </w:rPr>
          <w:t>Segunda Sesión Ordinaria de la Junta de Gobierno 202</w:t>
        </w:r>
        <w:r w:rsidR="00FA403F">
          <w:rPr>
            <w:rFonts w:ascii="Montserrat" w:eastAsia="Batang" w:hAnsi="Montserrat"/>
            <w:b/>
            <w:i/>
            <w:color w:val="A6A6A6" w:themeColor="background1" w:themeShade="A6"/>
            <w:sz w:val="18"/>
            <w:szCs w:val="18"/>
          </w:rPr>
          <w:t>4</w:t>
        </w:r>
      </w:p>
      <w:p w14:paraId="1C3152ED" w14:textId="0052D307" w:rsidR="004822B4" w:rsidRPr="001837E9" w:rsidRDefault="004822B4" w:rsidP="00EF3F60">
        <w:pPr>
          <w:pStyle w:val="Piedepgina"/>
          <w:jc w:val="right"/>
          <w:rPr>
            <w:rFonts w:ascii="Candara" w:hAnsi="Candara"/>
            <w:color w:val="A6A6A6" w:themeColor="background1" w:themeShade="A6"/>
            <w:sz w:val="18"/>
            <w:szCs w:val="18"/>
          </w:rPr>
        </w:pPr>
        <w:r w:rsidRPr="009B69B7">
          <w:rPr>
            <w:rFonts w:ascii="Montserrat" w:eastAsia="Batang" w:hAnsi="Montserrat"/>
            <w:b/>
            <w:color w:val="A6A6A6" w:themeColor="background1" w:themeShade="A6"/>
            <w:sz w:val="18"/>
            <w:szCs w:val="18"/>
          </w:rPr>
          <w:t xml:space="preserve"> </w:t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fldChar w:fldCharType="begin"/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instrText>PAGE   \* MERGEFORMAT</w:instrText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Montserrat" w:hAnsi="Montserrat"/>
            <w:noProof/>
            <w:color w:val="A6A6A6" w:themeColor="background1" w:themeShade="A6"/>
            <w:sz w:val="18"/>
            <w:szCs w:val="18"/>
          </w:rPr>
          <w:t>8</w:t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EC3F" w14:textId="77777777" w:rsidR="009B7BFD" w:rsidRDefault="009B7BFD" w:rsidP="00711955">
      <w:r>
        <w:separator/>
      </w:r>
    </w:p>
  </w:footnote>
  <w:footnote w:type="continuationSeparator" w:id="0">
    <w:p w14:paraId="30583FC3" w14:textId="77777777" w:rsidR="009B7BFD" w:rsidRDefault="009B7BFD" w:rsidP="0071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0CB" w14:textId="6D900973" w:rsidR="004822B4" w:rsidRDefault="008F569D" w:rsidP="008F569D">
    <w:pPr>
      <w:pStyle w:val="Encabezado"/>
      <w:tabs>
        <w:tab w:val="left" w:pos="9072"/>
      </w:tabs>
      <w:jc w:val="center"/>
    </w:pPr>
    <w:r>
      <w:rPr>
        <w:noProof/>
      </w:rPr>
      <w:drawing>
        <wp:inline distT="0" distB="0" distL="0" distR="0" wp14:anchorId="23F0587E" wp14:editId="72836948">
          <wp:extent cx="4779645" cy="780415"/>
          <wp:effectExtent l="0" t="0" r="1905" b="635"/>
          <wp:docPr id="16217775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C91"/>
    <w:multiLevelType w:val="hybridMultilevel"/>
    <w:tmpl w:val="2F50882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6659EB"/>
    <w:multiLevelType w:val="hybridMultilevel"/>
    <w:tmpl w:val="AAC4A8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374F"/>
    <w:multiLevelType w:val="hybridMultilevel"/>
    <w:tmpl w:val="442A6F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432"/>
    <w:multiLevelType w:val="hybridMultilevel"/>
    <w:tmpl w:val="AB7419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745E"/>
    <w:multiLevelType w:val="hybridMultilevel"/>
    <w:tmpl w:val="21DAF5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9232">
    <w:abstractNumId w:val="2"/>
  </w:num>
  <w:num w:numId="2" w16cid:durableId="1169563069">
    <w:abstractNumId w:val="1"/>
  </w:num>
  <w:num w:numId="3" w16cid:durableId="1245920423">
    <w:abstractNumId w:val="3"/>
  </w:num>
  <w:num w:numId="4" w16cid:durableId="509761513">
    <w:abstractNumId w:val="4"/>
  </w:num>
  <w:num w:numId="5" w16cid:durableId="166455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55"/>
    <w:rsid w:val="00026CF5"/>
    <w:rsid w:val="000309C1"/>
    <w:rsid w:val="00057DF0"/>
    <w:rsid w:val="00082BC1"/>
    <w:rsid w:val="000A2858"/>
    <w:rsid w:val="000C3C89"/>
    <w:rsid w:val="000D037E"/>
    <w:rsid w:val="000D357B"/>
    <w:rsid w:val="00105D79"/>
    <w:rsid w:val="00126357"/>
    <w:rsid w:val="001404F1"/>
    <w:rsid w:val="001468D7"/>
    <w:rsid w:val="001522EE"/>
    <w:rsid w:val="001837E9"/>
    <w:rsid w:val="00192E1D"/>
    <w:rsid w:val="001B1DF3"/>
    <w:rsid w:val="001C2F57"/>
    <w:rsid w:val="001C48A5"/>
    <w:rsid w:val="001C5F2D"/>
    <w:rsid w:val="001E6FA9"/>
    <w:rsid w:val="002005F5"/>
    <w:rsid w:val="00223149"/>
    <w:rsid w:val="00236F2A"/>
    <w:rsid w:val="00240A1A"/>
    <w:rsid w:val="0025294F"/>
    <w:rsid w:val="00274C1D"/>
    <w:rsid w:val="002759B3"/>
    <w:rsid w:val="002769F5"/>
    <w:rsid w:val="00276BA0"/>
    <w:rsid w:val="00283F8D"/>
    <w:rsid w:val="002A7163"/>
    <w:rsid w:val="002B41A5"/>
    <w:rsid w:val="002B4649"/>
    <w:rsid w:val="002B7D87"/>
    <w:rsid w:val="002E33B7"/>
    <w:rsid w:val="00312A16"/>
    <w:rsid w:val="00316E8E"/>
    <w:rsid w:val="003270D1"/>
    <w:rsid w:val="003277F3"/>
    <w:rsid w:val="00350798"/>
    <w:rsid w:val="00357D19"/>
    <w:rsid w:val="00393BA7"/>
    <w:rsid w:val="003B07CC"/>
    <w:rsid w:val="003B0EE0"/>
    <w:rsid w:val="003B3A8C"/>
    <w:rsid w:val="003B75E8"/>
    <w:rsid w:val="003C0D6F"/>
    <w:rsid w:val="003C27D5"/>
    <w:rsid w:val="003C621E"/>
    <w:rsid w:val="003E17FE"/>
    <w:rsid w:val="003E6B6C"/>
    <w:rsid w:val="003F2905"/>
    <w:rsid w:val="00416607"/>
    <w:rsid w:val="004310B0"/>
    <w:rsid w:val="004355EF"/>
    <w:rsid w:val="0043791F"/>
    <w:rsid w:val="00451B62"/>
    <w:rsid w:val="00477920"/>
    <w:rsid w:val="004822B4"/>
    <w:rsid w:val="00482A23"/>
    <w:rsid w:val="00497DEE"/>
    <w:rsid w:val="004C2E0C"/>
    <w:rsid w:val="004C65AE"/>
    <w:rsid w:val="004F220B"/>
    <w:rsid w:val="004F69C2"/>
    <w:rsid w:val="0050467A"/>
    <w:rsid w:val="005105EF"/>
    <w:rsid w:val="00527379"/>
    <w:rsid w:val="00547131"/>
    <w:rsid w:val="005509D9"/>
    <w:rsid w:val="00555255"/>
    <w:rsid w:val="00555C52"/>
    <w:rsid w:val="0055603F"/>
    <w:rsid w:val="0057019E"/>
    <w:rsid w:val="00582E5F"/>
    <w:rsid w:val="00584007"/>
    <w:rsid w:val="00593735"/>
    <w:rsid w:val="005A7F1F"/>
    <w:rsid w:val="005B63E3"/>
    <w:rsid w:val="005C1AE3"/>
    <w:rsid w:val="005C2FFC"/>
    <w:rsid w:val="005C38DC"/>
    <w:rsid w:val="005C6457"/>
    <w:rsid w:val="005C6DF8"/>
    <w:rsid w:val="005E5D9A"/>
    <w:rsid w:val="005E649B"/>
    <w:rsid w:val="005E7B5F"/>
    <w:rsid w:val="005F47DD"/>
    <w:rsid w:val="00602ABC"/>
    <w:rsid w:val="00605230"/>
    <w:rsid w:val="0061402B"/>
    <w:rsid w:val="00654E5B"/>
    <w:rsid w:val="00661E82"/>
    <w:rsid w:val="00661FF3"/>
    <w:rsid w:val="006642C5"/>
    <w:rsid w:val="00691FEA"/>
    <w:rsid w:val="0069493B"/>
    <w:rsid w:val="006A40B9"/>
    <w:rsid w:val="006C451A"/>
    <w:rsid w:val="006D506D"/>
    <w:rsid w:val="006E73F3"/>
    <w:rsid w:val="006F6174"/>
    <w:rsid w:val="0070056E"/>
    <w:rsid w:val="007100FE"/>
    <w:rsid w:val="0071119B"/>
    <w:rsid w:val="00711955"/>
    <w:rsid w:val="00730A0F"/>
    <w:rsid w:val="007524C4"/>
    <w:rsid w:val="00753F64"/>
    <w:rsid w:val="007610AC"/>
    <w:rsid w:val="00761A8B"/>
    <w:rsid w:val="007626D1"/>
    <w:rsid w:val="00762B4D"/>
    <w:rsid w:val="00773523"/>
    <w:rsid w:val="007B175B"/>
    <w:rsid w:val="007C050D"/>
    <w:rsid w:val="007C4AFB"/>
    <w:rsid w:val="007D5BBE"/>
    <w:rsid w:val="007E6045"/>
    <w:rsid w:val="007E67D1"/>
    <w:rsid w:val="007F4660"/>
    <w:rsid w:val="007F5C2B"/>
    <w:rsid w:val="008001DF"/>
    <w:rsid w:val="0081702D"/>
    <w:rsid w:val="0082626D"/>
    <w:rsid w:val="008268D3"/>
    <w:rsid w:val="00833551"/>
    <w:rsid w:val="008419A8"/>
    <w:rsid w:val="00854FF0"/>
    <w:rsid w:val="008660E7"/>
    <w:rsid w:val="00867968"/>
    <w:rsid w:val="00873626"/>
    <w:rsid w:val="008A6134"/>
    <w:rsid w:val="008C16EF"/>
    <w:rsid w:val="008C4DAB"/>
    <w:rsid w:val="008D3AFD"/>
    <w:rsid w:val="008D6305"/>
    <w:rsid w:val="008E079A"/>
    <w:rsid w:val="008E6343"/>
    <w:rsid w:val="008F33E2"/>
    <w:rsid w:val="008F569D"/>
    <w:rsid w:val="0090087E"/>
    <w:rsid w:val="00925C68"/>
    <w:rsid w:val="00954304"/>
    <w:rsid w:val="00957650"/>
    <w:rsid w:val="00974E8A"/>
    <w:rsid w:val="009837CE"/>
    <w:rsid w:val="0099756E"/>
    <w:rsid w:val="009A0B8E"/>
    <w:rsid w:val="009A23CA"/>
    <w:rsid w:val="009B69B7"/>
    <w:rsid w:val="009B7BFD"/>
    <w:rsid w:val="009E73E1"/>
    <w:rsid w:val="00A02A37"/>
    <w:rsid w:val="00A14568"/>
    <w:rsid w:val="00A16267"/>
    <w:rsid w:val="00A168B4"/>
    <w:rsid w:val="00A2069D"/>
    <w:rsid w:val="00A27ECA"/>
    <w:rsid w:val="00A35EB3"/>
    <w:rsid w:val="00A72369"/>
    <w:rsid w:val="00A773FD"/>
    <w:rsid w:val="00A940F5"/>
    <w:rsid w:val="00AB690B"/>
    <w:rsid w:val="00AD08A6"/>
    <w:rsid w:val="00AD1045"/>
    <w:rsid w:val="00AD1269"/>
    <w:rsid w:val="00B253AC"/>
    <w:rsid w:val="00B254D7"/>
    <w:rsid w:val="00B27D13"/>
    <w:rsid w:val="00B331CF"/>
    <w:rsid w:val="00B36746"/>
    <w:rsid w:val="00B57E61"/>
    <w:rsid w:val="00B62FD1"/>
    <w:rsid w:val="00B80FC0"/>
    <w:rsid w:val="00B938BA"/>
    <w:rsid w:val="00B94851"/>
    <w:rsid w:val="00B96FF3"/>
    <w:rsid w:val="00BA21E3"/>
    <w:rsid w:val="00BB3C35"/>
    <w:rsid w:val="00BB7C65"/>
    <w:rsid w:val="00BD21A8"/>
    <w:rsid w:val="00BD3102"/>
    <w:rsid w:val="00BE76A6"/>
    <w:rsid w:val="00BE7717"/>
    <w:rsid w:val="00C102F6"/>
    <w:rsid w:val="00C471E5"/>
    <w:rsid w:val="00C51EC9"/>
    <w:rsid w:val="00C54CA9"/>
    <w:rsid w:val="00C563EC"/>
    <w:rsid w:val="00C72A0F"/>
    <w:rsid w:val="00C86F62"/>
    <w:rsid w:val="00CA2184"/>
    <w:rsid w:val="00CA6E5E"/>
    <w:rsid w:val="00CB3976"/>
    <w:rsid w:val="00CB6949"/>
    <w:rsid w:val="00CC330F"/>
    <w:rsid w:val="00CC6F56"/>
    <w:rsid w:val="00CD32D4"/>
    <w:rsid w:val="00CE79C2"/>
    <w:rsid w:val="00CF371B"/>
    <w:rsid w:val="00D2681D"/>
    <w:rsid w:val="00D27162"/>
    <w:rsid w:val="00D43E3D"/>
    <w:rsid w:val="00D57F7D"/>
    <w:rsid w:val="00D701F5"/>
    <w:rsid w:val="00D87501"/>
    <w:rsid w:val="00DB3117"/>
    <w:rsid w:val="00DC246F"/>
    <w:rsid w:val="00DC34D6"/>
    <w:rsid w:val="00DD10A8"/>
    <w:rsid w:val="00DE3732"/>
    <w:rsid w:val="00E00190"/>
    <w:rsid w:val="00E07E43"/>
    <w:rsid w:val="00E10CFB"/>
    <w:rsid w:val="00E13F84"/>
    <w:rsid w:val="00E23DBA"/>
    <w:rsid w:val="00E522AD"/>
    <w:rsid w:val="00E642D1"/>
    <w:rsid w:val="00E77E8B"/>
    <w:rsid w:val="00EA6DDC"/>
    <w:rsid w:val="00EC15B7"/>
    <w:rsid w:val="00EC473A"/>
    <w:rsid w:val="00ED2DC5"/>
    <w:rsid w:val="00ED52FA"/>
    <w:rsid w:val="00EE6203"/>
    <w:rsid w:val="00EF05D6"/>
    <w:rsid w:val="00EF08C5"/>
    <w:rsid w:val="00EF3B59"/>
    <w:rsid w:val="00EF3F60"/>
    <w:rsid w:val="00F00479"/>
    <w:rsid w:val="00F10D3A"/>
    <w:rsid w:val="00F21E1F"/>
    <w:rsid w:val="00F2518D"/>
    <w:rsid w:val="00F36A23"/>
    <w:rsid w:val="00F449D7"/>
    <w:rsid w:val="00F55B05"/>
    <w:rsid w:val="00F64F09"/>
    <w:rsid w:val="00F724FB"/>
    <w:rsid w:val="00F72EBD"/>
    <w:rsid w:val="00F85029"/>
    <w:rsid w:val="00F92DB6"/>
    <w:rsid w:val="00FA34CF"/>
    <w:rsid w:val="00FA403F"/>
    <w:rsid w:val="00FC4F9B"/>
    <w:rsid w:val="00FD1798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8C22"/>
  <w15:docId w15:val="{57422A0B-96FE-4D45-87D8-A77A307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955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1955"/>
  </w:style>
  <w:style w:type="paragraph" w:styleId="Piedepgina">
    <w:name w:val="footer"/>
    <w:basedOn w:val="Normal"/>
    <w:link w:val="PiedepginaCar"/>
    <w:uiPriority w:val="99"/>
    <w:unhideWhenUsed/>
    <w:rsid w:val="00711955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955"/>
  </w:style>
  <w:style w:type="paragraph" w:styleId="Textodeglobo">
    <w:name w:val="Balloon Text"/>
    <w:basedOn w:val="Normal"/>
    <w:link w:val="TextodegloboCar"/>
    <w:uiPriority w:val="99"/>
    <w:semiHidden/>
    <w:unhideWhenUsed/>
    <w:rsid w:val="009E73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3E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FC0"/>
    <w:pPr>
      <w:autoSpaceDE/>
      <w:autoSpaceDN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F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0FC0"/>
    <w:rPr>
      <w:vertAlign w:val="superscript"/>
    </w:rPr>
  </w:style>
  <w:style w:type="paragraph" w:customStyle="1" w:styleId="TEXTONORMAL">
    <w:name w:val="TEXTO_NORMAL"/>
    <w:basedOn w:val="Normal"/>
    <w:qFormat/>
    <w:rsid w:val="003B0EE0"/>
    <w:pPr>
      <w:autoSpaceDE/>
      <w:autoSpaceDN/>
      <w:spacing w:after="120" w:line="250" w:lineRule="exact"/>
      <w:jc w:val="both"/>
    </w:pPr>
    <w:rPr>
      <w:rFonts w:ascii="Soberana Sans Light" w:eastAsia="Calibri" w:hAnsi="Soberana Sans Light"/>
      <w:sz w:val="18"/>
      <w:szCs w:val="18"/>
      <w:lang w:val="es-ES" w:eastAsia="en-US"/>
    </w:rPr>
  </w:style>
  <w:style w:type="paragraph" w:customStyle="1" w:styleId="ENTEPUBLICO">
    <w:name w:val="ENTE_PUBLICO"/>
    <w:basedOn w:val="Normal"/>
    <w:next w:val="TEXTONORMAL"/>
    <w:qFormat/>
    <w:rsid w:val="003B0EE0"/>
    <w:pPr>
      <w:autoSpaceDE/>
      <w:autoSpaceDN/>
      <w:spacing w:after="120" w:line="250" w:lineRule="exact"/>
      <w:jc w:val="center"/>
    </w:pPr>
    <w:rPr>
      <w:rFonts w:ascii="Soberana Sans Light" w:eastAsia="Calibri" w:hAnsi="Soberana Sans Light"/>
      <w:b/>
      <w:lang w:val="es-MX" w:eastAsia="en-US"/>
    </w:rPr>
  </w:style>
  <w:style w:type="paragraph" w:customStyle="1" w:styleId="TITULOREPORTE">
    <w:name w:val="TITULO_REPORTE"/>
    <w:basedOn w:val="Normal"/>
    <w:next w:val="TEXTONORMAL"/>
    <w:qFormat/>
    <w:rsid w:val="003B0EE0"/>
    <w:pPr>
      <w:autoSpaceDE/>
      <w:autoSpaceDN/>
      <w:spacing w:after="120" w:line="250" w:lineRule="exact"/>
      <w:jc w:val="center"/>
    </w:pPr>
    <w:rPr>
      <w:rFonts w:ascii="Soberana Sans Light" w:eastAsia="Calibri" w:hAnsi="Soberana Sans Light"/>
      <w:b/>
      <w:lang w:val="es-MX" w:eastAsia="en-US"/>
    </w:rPr>
  </w:style>
  <w:style w:type="paragraph" w:customStyle="1" w:styleId="Sinespaciado1">
    <w:name w:val="Sin espaciado1"/>
    <w:uiPriority w:val="99"/>
    <w:rsid w:val="003B0EE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uiPriority w:val="1"/>
    <w:qFormat/>
    <w:rsid w:val="00753F6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4779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920"/>
    <w:pPr>
      <w:autoSpaceDE/>
      <w:autoSpaceDN/>
      <w:ind w:left="720"/>
      <w:contextualSpacing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9C5E-733F-4485-8037-990B8ECB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5574</Words>
  <Characters>30660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Leticia Espinosa Cruz</cp:lastModifiedBy>
  <cp:revision>6</cp:revision>
  <cp:lastPrinted>2024-11-04T14:18:00Z</cp:lastPrinted>
  <dcterms:created xsi:type="dcterms:W3CDTF">2024-11-04T17:56:00Z</dcterms:created>
  <dcterms:modified xsi:type="dcterms:W3CDTF">2024-11-06T20:02:00Z</dcterms:modified>
</cp:coreProperties>
</file>