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3D22" w14:textId="2D6B1005" w:rsidR="002F3955" w:rsidRDefault="002F3955" w:rsidP="002F3955">
      <w:pPr>
        <w:jc w:val="both"/>
        <w:rPr>
          <w:rFonts w:ascii="Montserrat" w:hAnsi="Montserrat"/>
          <w:szCs w:val="22"/>
        </w:rPr>
      </w:pPr>
    </w:p>
    <w:p w14:paraId="54D0E923" w14:textId="0099363A" w:rsidR="00E676A7" w:rsidRDefault="005163B5" w:rsidP="00EF3122">
      <w:pPr>
        <w:jc w:val="both"/>
        <w:rPr>
          <w:rFonts w:ascii="Montserrat" w:hAnsi="Montserrat"/>
          <w:b/>
          <w:bCs/>
          <w:szCs w:val="22"/>
        </w:rPr>
      </w:pPr>
      <w:r>
        <w:rPr>
          <w:rFonts w:ascii="Montserrat" w:hAnsi="Montserrat"/>
          <w:b/>
          <w:bCs/>
          <w:szCs w:val="22"/>
        </w:rPr>
        <w:t xml:space="preserve"> </w:t>
      </w:r>
      <w:r w:rsidR="00EF3122" w:rsidRPr="00EF3122">
        <w:rPr>
          <w:noProof/>
        </w:rPr>
        <w:drawing>
          <wp:inline distT="0" distB="0" distL="0" distR="0" wp14:anchorId="173E457C" wp14:editId="621CE7B1">
            <wp:extent cx="8560640" cy="5591175"/>
            <wp:effectExtent l="0" t="0" r="0" b="0"/>
            <wp:docPr id="1799571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6859" cy="5595237"/>
                    </a:xfrm>
                    <a:prstGeom prst="rect">
                      <a:avLst/>
                    </a:prstGeom>
                    <a:noFill/>
                    <a:ln>
                      <a:noFill/>
                    </a:ln>
                  </pic:spPr>
                </pic:pic>
              </a:graphicData>
            </a:graphic>
          </wp:inline>
        </w:drawing>
      </w:r>
      <w:r w:rsidR="00E676A7">
        <w:rPr>
          <w:rFonts w:ascii="Montserrat" w:hAnsi="Montserrat"/>
          <w:b/>
          <w:bCs/>
          <w:szCs w:val="22"/>
        </w:rPr>
        <w:br w:type="page"/>
      </w:r>
    </w:p>
    <w:p w14:paraId="131F77C9" w14:textId="77777777" w:rsidR="00E676A7" w:rsidRDefault="00E676A7" w:rsidP="002F3955">
      <w:pPr>
        <w:jc w:val="both"/>
        <w:rPr>
          <w:rFonts w:ascii="Montserrat" w:hAnsi="Montserrat"/>
          <w:b/>
          <w:bCs/>
          <w:szCs w:val="22"/>
        </w:rPr>
        <w:sectPr w:rsidR="00E676A7" w:rsidSect="00E676A7">
          <w:headerReference w:type="default" r:id="rId8"/>
          <w:pgSz w:w="15840" w:h="12240" w:orient="landscape" w:code="1"/>
          <w:pgMar w:top="1701" w:right="2126" w:bottom="1043" w:left="1701" w:header="709" w:footer="709" w:gutter="0"/>
          <w:pgNumType w:start="1"/>
          <w:cols w:space="708"/>
          <w:docGrid w:linePitch="360"/>
        </w:sectPr>
      </w:pPr>
    </w:p>
    <w:p w14:paraId="435659B1" w14:textId="6942C1D4" w:rsidR="00482A00" w:rsidRPr="007C0E30" w:rsidRDefault="00F42039" w:rsidP="002F3955">
      <w:pPr>
        <w:jc w:val="both"/>
        <w:rPr>
          <w:rFonts w:ascii="Geomanist" w:hAnsi="Geomanist"/>
          <w:b/>
          <w:bCs/>
          <w:szCs w:val="22"/>
        </w:rPr>
      </w:pPr>
      <w:r>
        <w:rPr>
          <w:rFonts w:ascii="Geomanist" w:hAnsi="Geomanist"/>
          <w:b/>
          <w:bCs/>
          <w:szCs w:val="22"/>
        </w:rPr>
        <w:lastRenderedPageBreak/>
        <w:t xml:space="preserve">5.4.a Notas </w:t>
      </w:r>
      <w:r w:rsidR="005163B5" w:rsidRPr="007C0E30">
        <w:rPr>
          <w:rFonts w:ascii="Geomanist" w:hAnsi="Geomanist"/>
          <w:b/>
          <w:bCs/>
          <w:szCs w:val="22"/>
        </w:rPr>
        <w:t>Estado de Situación Financiera</w:t>
      </w:r>
    </w:p>
    <w:p w14:paraId="284F2947" w14:textId="77777777" w:rsidR="000822F6" w:rsidRPr="007C0E30" w:rsidRDefault="000822F6" w:rsidP="002F3955">
      <w:pPr>
        <w:jc w:val="both"/>
        <w:rPr>
          <w:rFonts w:ascii="Geomanist" w:hAnsi="Geomanist"/>
          <w:szCs w:val="22"/>
        </w:rPr>
      </w:pPr>
    </w:p>
    <w:p w14:paraId="661CED8B" w14:textId="77777777" w:rsidR="006B0E9C" w:rsidRPr="007C0E30" w:rsidRDefault="006B0E9C" w:rsidP="006B0E9C">
      <w:pPr>
        <w:jc w:val="both"/>
        <w:rPr>
          <w:rFonts w:ascii="Geomanist" w:hAnsi="Geomanist"/>
          <w:szCs w:val="22"/>
        </w:rPr>
      </w:pPr>
      <w:r w:rsidRPr="007C0E30">
        <w:rPr>
          <w:rFonts w:ascii="Geomanist" w:hAnsi="Geomanist"/>
          <w:szCs w:val="22"/>
        </w:rPr>
        <w:t>Al cierre del segundo trimestre de 2024, el Activo total asciende a $455,441 miles de pesos, mientras que el Pasivo se ubica en $41,964 miles de pesos y el Patrimonio en $413,476 miles de pesos. Estas cifras representan, en comparación con el mismo periodo de 2023, un incremento del 56% en el Activo, una disminución del 11% en el Pasivo y un aumento del 56% en el Patrimonio.</w:t>
      </w:r>
    </w:p>
    <w:p w14:paraId="7ED1CF80" w14:textId="77777777" w:rsidR="006B0E9C" w:rsidRPr="007C0E30" w:rsidRDefault="006B0E9C" w:rsidP="006B0E9C">
      <w:pPr>
        <w:jc w:val="both"/>
        <w:rPr>
          <w:rFonts w:ascii="Geomanist" w:hAnsi="Geomanist"/>
          <w:szCs w:val="22"/>
        </w:rPr>
      </w:pPr>
    </w:p>
    <w:p w14:paraId="521251D1" w14:textId="77777777" w:rsidR="006B0E9C" w:rsidRPr="007C0E30" w:rsidRDefault="006B0E9C" w:rsidP="006B0E9C">
      <w:pPr>
        <w:jc w:val="both"/>
        <w:rPr>
          <w:rFonts w:ascii="Geomanist" w:hAnsi="Geomanist"/>
          <w:szCs w:val="22"/>
        </w:rPr>
      </w:pPr>
      <w:r w:rsidRPr="007C0E30">
        <w:rPr>
          <w:rFonts w:ascii="Geomanist" w:hAnsi="Geomanist"/>
          <w:szCs w:val="22"/>
        </w:rPr>
        <w:t>El Activo Circulante muestra una reducción de $15,158 miles de pesos, atribuida principalmente a la depuración de cuentas por cobrar y deudores diversos.</w:t>
      </w:r>
    </w:p>
    <w:p w14:paraId="23D9A38E" w14:textId="77777777" w:rsidR="006B0E9C" w:rsidRPr="007C0E30" w:rsidRDefault="006B0E9C" w:rsidP="006B0E9C">
      <w:pPr>
        <w:jc w:val="both"/>
        <w:rPr>
          <w:rFonts w:ascii="Geomanist" w:hAnsi="Geomanist"/>
          <w:szCs w:val="22"/>
        </w:rPr>
      </w:pPr>
    </w:p>
    <w:p w14:paraId="692F8735" w14:textId="6F645640" w:rsidR="006B0E9C" w:rsidRPr="007C0E30" w:rsidRDefault="006B0E9C" w:rsidP="006B0E9C">
      <w:pPr>
        <w:jc w:val="both"/>
        <w:rPr>
          <w:rFonts w:ascii="Geomanist" w:hAnsi="Geomanist"/>
          <w:szCs w:val="22"/>
        </w:rPr>
      </w:pPr>
      <w:r w:rsidRPr="007C0E30">
        <w:rPr>
          <w:rFonts w:ascii="Geomanist" w:hAnsi="Geomanist"/>
          <w:szCs w:val="22"/>
        </w:rPr>
        <w:t>Por su parte, el Pasivo también disminuyó en $5,408 miles de pesos, como resultado de la reducción en las cuentas de retenciones y contribuciones, así como en los fondos en administración a corto plazo. Finalmente, el Patrimonio experimentó un aumento significativo de $262,440 miles de pesos.</w:t>
      </w:r>
    </w:p>
    <w:p w14:paraId="6D3EDFDE" w14:textId="77777777" w:rsidR="006B0E9C" w:rsidRPr="007C0E30" w:rsidRDefault="006B0E9C" w:rsidP="002F3955">
      <w:pPr>
        <w:jc w:val="both"/>
        <w:rPr>
          <w:rFonts w:ascii="Geomanist" w:hAnsi="Geomanist"/>
          <w:szCs w:val="22"/>
        </w:rPr>
      </w:pPr>
    </w:p>
    <w:p w14:paraId="7824805C" w14:textId="77777777" w:rsidR="006B0E9C" w:rsidRPr="007C0E30" w:rsidRDefault="006B0E9C" w:rsidP="002F3955">
      <w:pPr>
        <w:jc w:val="both"/>
        <w:rPr>
          <w:rFonts w:ascii="Geomanist" w:hAnsi="Geomanist"/>
          <w:szCs w:val="22"/>
        </w:rPr>
      </w:pPr>
    </w:p>
    <w:p w14:paraId="0AF2582D" w14:textId="55882400" w:rsidR="002F3955" w:rsidRPr="007C0E30" w:rsidRDefault="00323F1C" w:rsidP="002F3955">
      <w:pPr>
        <w:jc w:val="both"/>
        <w:rPr>
          <w:rFonts w:ascii="Geomanist" w:hAnsi="Geomanist"/>
          <w:b/>
          <w:bCs/>
          <w:szCs w:val="22"/>
        </w:rPr>
      </w:pPr>
      <w:r w:rsidRPr="007C0E30">
        <w:rPr>
          <w:rFonts w:ascii="Geomanist" w:hAnsi="Geomanist"/>
          <w:b/>
          <w:bCs/>
          <w:szCs w:val="22"/>
        </w:rPr>
        <w:t>V</w:t>
      </w:r>
      <w:r w:rsidR="002F3955" w:rsidRPr="007C0E30">
        <w:rPr>
          <w:rFonts w:ascii="Geomanist" w:hAnsi="Geomanist"/>
          <w:b/>
          <w:bCs/>
          <w:szCs w:val="22"/>
        </w:rPr>
        <w:t>ariación del Activo</w:t>
      </w:r>
    </w:p>
    <w:p w14:paraId="0E0D1107" w14:textId="77777777" w:rsidR="004279BF" w:rsidRPr="007C0E30" w:rsidRDefault="004279BF" w:rsidP="002F3955">
      <w:pPr>
        <w:jc w:val="both"/>
        <w:rPr>
          <w:rFonts w:ascii="Geomanist" w:hAnsi="Geomanist"/>
          <w:b/>
          <w:bCs/>
          <w:szCs w:val="22"/>
        </w:rPr>
      </w:pPr>
    </w:p>
    <w:p w14:paraId="6E2320CB" w14:textId="7B1B3A88" w:rsidR="002F3955" w:rsidRPr="007C0E30" w:rsidRDefault="002F3955" w:rsidP="002F3955">
      <w:pPr>
        <w:jc w:val="both"/>
        <w:rPr>
          <w:rFonts w:ascii="Geomanist" w:hAnsi="Geomanist"/>
          <w:i/>
          <w:iCs/>
          <w:szCs w:val="22"/>
        </w:rPr>
      </w:pPr>
      <w:r w:rsidRPr="007C0E30">
        <w:rPr>
          <w:rFonts w:ascii="Geomanist" w:hAnsi="Geomanist"/>
          <w:i/>
          <w:iCs/>
          <w:szCs w:val="22"/>
        </w:rPr>
        <w:t>Cuentas por cobrar:</w:t>
      </w:r>
    </w:p>
    <w:p w14:paraId="115D7CD5" w14:textId="69051A7F" w:rsidR="00BE197E" w:rsidRPr="007C0E30" w:rsidRDefault="00BE197E" w:rsidP="002F3955">
      <w:pPr>
        <w:jc w:val="both"/>
        <w:rPr>
          <w:rFonts w:ascii="Geomanist" w:hAnsi="Geomanist"/>
          <w:szCs w:val="22"/>
        </w:rPr>
      </w:pPr>
      <w:r w:rsidRPr="007C0E30">
        <w:rPr>
          <w:rFonts w:ascii="Geomanist" w:hAnsi="Geomanist"/>
          <w:szCs w:val="22"/>
        </w:rPr>
        <w:t xml:space="preserve">En junio de 2024, se registra una disminución del 81% en comparación con el mismo mes de 2023. Esta variación absoluta equivale a $275 miles de pesos, como resultado de la actualización del estatus de los saldos deudores de clientes cuyas facturas </w:t>
      </w:r>
      <w:r w:rsidR="006F4267" w:rsidRPr="007C0E30">
        <w:rPr>
          <w:rFonts w:ascii="Geomanist" w:hAnsi="Geomanist"/>
          <w:szCs w:val="22"/>
        </w:rPr>
        <w:t xml:space="preserve">pendientes de cobro </w:t>
      </w:r>
      <w:r w:rsidRPr="007C0E30">
        <w:rPr>
          <w:rFonts w:ascii="Geomanist" w:hAnsi="Geomanist"/>
          <w:szCs w:val="22"/>
        </w:rPr>
        <w:t>ya han sido liquidadas.</w:t>
      </w:r>
    </w:p>
    <w:p w14:paraId="486F9B33" w14:textId="77777777" w:rsidR="00BE197E" w:rsidRPr="007C0E30" w:rsidRDefault="00BE197E" w:rsidP="002F3955">
      <w:pPr>
        <w:jc w:val="both"/>
        <w:rPr>
          <w:rFonts w:ascii="Geomanist" w:hAnsi="Geomanist"/>
          <w:szCs w:val="22"/>
        </w:rPr>
      </w:pPr>
    </w:p>
    <w:p w14:paraId="7BF63B05" w14:textId="77777777" w:rsidR="00CF0007" w:rsidRPr="007C0E30" w:rsidRDefault="00CF0007" w:rsidP="002F3955">
      <w:pPr>
        <w:jc w:val="both"/>
        <w:rPr>
          <w:rFonts w:ascii="Geomanist" w:hAnsi="Geomanist"/>
          <w:szCs w:val="22"/>
        </w:rPr>
      </w:pPr>
    </w:p>
    <w:p w14:paraId="6EB868B9" w14:textId="77777777" w:rsidR="002F3955" w:rsidRPr="007C0E30" w:rsidRDefault="002F3955" w:rsidP="002F3955">
      <w:pPr>
        <w:jc w:val="both"/>
        <w:rPr>
          <w:rFonts w:ascii="Geomanist" w:hAnsi="Geomanist"/>
          <w:i/>
          <w:iCs/>
          <w:szCs w:val="22"/>
        </w:rPr>
      </w:pPr>
      <w:r w:rsidRPr="007C0E30">
        <w:rPr>
          <w:rFonts w:ascii="Geomanist" w:hAnsi="Geomanist"/>
          <w:i/>
          <w:iCs/>
          <w:szCs w:val="22"/>
        </w:rPr>
        <w:t>Deudores diversos por cobrar:</w:t>
      </w:r>
    </w:p>
    <w:p w14:paraId="06A397FF" w14:textId="35168F0E" w:rsidR="00604A61" w:rsidRPr="007C0E30" w:rsidRDefault="00604A61" w:rsidP="002F3955">
      <w:pPr>
        <w:jc w:val="both"/>
        <w:rPr>
          <w:rFonts w:ascii="Geomanist" w:hAnsi="Geomanist"/>
          <w:szCs w:val="22"/>
        </w:rPr>
      </w:pPr>
      <w:r w:rsidRPr="007C0E30">
        <w:rPr>
          <w:rFonts w:ascii="Geomanist" w:hAnsi="Geomanist"/>
          <w:szCs w:val="22"/>
        </w:rPr>
        <w:t>En junio de 2024, se observó una disminución del 82% en comparación con junio de 2023, resultado de las gestiones de cobro y la actualización de saldos. Con el objetivo de mejorar el control de las disponibilidades y asegurar información financiera confiable y precisa en los estados financieros</w:t>
      </w:r>
      <w:r w:rsidR="005F5D9E" w:rsidRPr="007C0E30">
        <w:rPr>
          <w:rFonts w:ascii="Geomanist" w:hAnsi="Geomanist"/>
          <w:szCs w:val="22"/>
        </w:rPr>
        <w:t xml:space="preserve">, </w:t>
      </w:r>
      <w:r w:rsidRPr="007C0E30">
        <w:rPr>
          <w:rFonts w:ascii="Geomanist" w:hAnsi="Geomanist"/>
          <w:szCs w:val="22"/>
        </w:rPr>
        <w:t>especialmente en el reconocimiento adecuado de las cifras que componen la cuenta de deudores diversos</w:t>
      </w:r>
      <w:r w:rsidR="005F5D9E" w:rsidRPr="007C0E30">
        <w:rPr>
          <w:rFonts w:ascii="Geomanist" w:hAnsi="Geomanist"/>
          <w:szCs w:val="22"/>
        </w:rPr>
        <w:t xml:space="preserve">, </w:t>
      </w:r>
      <w:r w:rsidRPr="007C0E30">
        <w:rPr>
          <w:rFonts w:ascii="Geomanist" w:hAnsi="Geomanist"/>
          <w:szCs w:val="22"/>
        </w:rPr>
        <w:t>el 24 de octubre de 2023, durante la 2da sesión ordinaria de la Junta de Gobierno, se informó en el punto 12.2 de asuntos generales sobre la cancelación de registros contables asociados a proyectos propios, que a esa fecha ascendían a $13,803,797. Esta cancelación no representa un menoscabo monetario para la Institución, ya que dichos registros correspondieron a movimientos virtuales utilizados para reconocer el comportamiento multianual de los proyectos institucionales.</w:t>
      </w:r>
    </w:p>
    <w:p w14:paraId="318377D9" w14:textId="77777777" w:rsidR="00604A61" w:rsidRPr="007C0E30" w:rsidRDefault="00604A61" w:rsidP="002F3955">
      <w:pPr>
        <w:jc w:val="both"/>
        <w:rPr>
          <w:rFonts w:ascii="Geomanist" w:hAnsi="Geomanist"/>
          <w:szCs w:val="22"/>
        </w:rPr>
      </w:pPr>
    </w:p>
    <w:p w14:paraId="12045693" w14:textId="77777777" w:rsidR="002F3955" w:rsidRPr="007C0E30" w:rsidRDefault="002F3955" w:rsidP="002F3955">
      <w:pPr>
        <w:jc w:val="both"/>
        <w:rPr>
          <w:rFonts w:ascii="Geomanist" w:hAnsi="Geomanist"/>
          <w:szCs w:val="22"/>
        </w:rPr>
      </w:pPr>
    </w:p>
    <w:p w14:paraId="61B39A33" w14:textId="42BD4ADF" w:rsidR="002F3955" w:rsidRPr="007C0E30" w:rsidRDefault="00BE7CA3" w:rsidP="002F3955">
      <w:pPr>
        <w:jc w:val="both"/>
        <w:rPr>
          <w:rFonts w:ascii="Geomanist" w:hAnsi="Geomanist"/>
          <w:b/>
          <w:bCs/>
          <w:szCs w:val="22"/>
        </w:rPr>
      </w:pPr>
      <w:r w:rsidRPr="007C0E30">
        <w:rPr>
          <w:rFonts w:ascii="Geomanist" w:hAnsi="Geomanist"/>
          <w:b/>
          <w:bCs/>
          <w:szCs w:val="22"/>
        </w:rPr>
        <w:t>V</w:t>
      </w:r>
      <w:r w:rsidR="002F3955" w:rsidRPr="007C0E30">
        <w:rPr>
          <w:rFonts w:ascii="Geomanist" w:hAnsi="Geomanist"/>
          <w:b/>
          <w:bCs/>
          <w:szCs w:val="22"/>
        </w:rPr>
        <w:t>ariación del Pasivo y Patrimonio.</w:t>
      </w:r>
    </w:p>
    <w:p w14:paraId="61B2EF51" w14:textId="77777777" w:rsidR="002F3955" w:rsidRPr="007C0E30" w:rsidRDefault="002F3955" w:rsidP="002F3955">
      <w:pPr>
        <w:jc w:val="both"/>
        <w:rPr>
          <w:rFonts w:ascii="Geomanist" w:hAnsi="Geomanist"/>
          <w:szCs w:val="22"/>
        </w:rPr>
      </w:pPr>
    </w:p>
    <w:p w14:paraId="0B315311" w14:textId="33376C3E" w:rsidR="00E6486D" w:rsidRPr="007C0E30" w:rsidRDefault="004C2FD6" w:rsidP="002F3955">
      <w:pPr>
        <w:jc w:val="both"/>
        <w:rPr>
          <w:rFonts w:ascii="Geomanist" w:hAnsi="Geomanist"/>
          <w:i/>
          <w:iCs/>
          <w:szCs w:val="22"/>
        </w:rPr>
      </w:pPr>
      <w:r w:rsidRPr="007C0E30">
        <w:rPr>
          <w:rFonts w:ascii="Geomanist" w:hAnsi="Geomanist"/>
          <w:i/>
          <w:iCs/>
          <w:szCs w:val="22"/>
        </w:rPr>
        <w:t>Proveedores por Pagar</w:t>
      </w:r>
    </w:p>
    <w:p w14:paraId="52DA340C" w14:textId="072D1C1E" w:rsidR="00E6486D" w:rsidRPr="007C0E30" w:rsidRDefault="003F3B4C" w:rsidP="002F3955">
      <w:pPr>
        <w:jc w:val="both"/>
        <w:rPr>
          <w:rFonts w:ascii="Geomanist" w:hAnsi="Geomanist"/>
          <w:szCs w:val="22"/>
        </w:rPr>
      </w:pPr>
      <w:r w:rsidRPr="007C0E30">
        <w:rPr>
          <w:rFonts w:ascii="Geomanist" w:hAnsi="Geomanist"/>
          <w:szCs w:val="22"/>
        </w:rPr>
        <w:t>En junio de 2024, la cuenta antes mencionada registró un incremento del 60%, lo que representa una variación absoluta de $581 miles de pesos en comparación con el mismo mes de 2023. Este aumento se debe a que, al cierre del segundo trimestre de 2024, algunos proveedores no habían entregado los productos o servicios acordados, lo que impidió realizar los pagos correspondientes hasta recibir los bienes pactados.</w:t>
      </w:r>
    </w:p>
    <w:p w14:paraId="26ABDA2E" w14:textId="77777777" w:rsidR="003F3B4C" w:rsidRPr="007C0E30" w:rsidRDefault="003F3B4C" w:rsidP="002F3955">
      <w:pPr>
        <w:jc w:val="both"/>
        <w:rPr>
          <w:rFonts w:ascii="Geomanist" w:hAnsi="Geomanist"/>
          <w:szCs w:val="22"/>
        </w:rPr>
      </w:pPr>
    </w:p>
    <w:p w14:paraId="0FE97F5F" w14:textId="77777777" w:rsidR="00E6486D" w:rsidRPr="007C0E30" w:rsidRDefault="00E6486D" w:rsidP="002F3955">
      <w:pPr>
        <w:jc w:val="both"/>
        <w:rPr>
          <w:rFonts w:ascii="Geomanist" w:hAnsi="Geomanist"/>
          <w:szCs w:val="22"/>
        </w:rPr>
      </w:pPr>
    </w:p>
    <w:p w14:paraId="2893D25D" w14:textId="180B9896" w:rsidR="002F3955" w:rsidRPr="007C0E30" w:rsidRDefault="00F02E92" w:rsidP="002F3955">
      <w:pPr>
        <w:jc w:val="both"/>
        <w:rPr>
          <w:rFonts w:ascii="Geomanist" w:hAnsi="Geomanist"/>
          <w:i/>
          <w:iCs/>
          <w:szCs w:val="22"/>
        </w:rPr>
      </w:pPr>
      <w:r w:rsidRPr="007C0E30">
        <w:rPr>
          <w:rFonts w:ascii="Geomanist" w:hAnsi="Geomanist"/>
          <w:i/>
          <w:iCs/>
          <w:szCs w:val="22"/>
        </w:rPr>
        <w:t xml:space="preserve">Retenciones y contribuciones </w:t>
      </w:r>
      <w:r w:rsidR="002F3955" w:rsidRPr="007C0E30">
        <w:rPr>
          <w:rFonts w:ascii="Geomanist" w:hAnsi="Geomanist"/>
          <w:i/>
          <w:iCs/>
          <w:szCs w:val="22"/>
        </w:rPr>
        <w:t xml:space="preserve">por pagar </w:t>
      </w:r>
    </w:p>
    <w:p w14:paraId="465C3E5D" w14:textId="491E1242" w:rsidR="00373B9B" w:rsidRPr="007C0E30" w:rsidRDefault="00F036AE" w:rsidP="002F3955">
      <w:pPr>
        <w:jc w:val="both"/>
        <w:rPr>
          <w:rFonts w:ascii="Geomanist" w:hAnsi="Geomanist"/>
          <w:szCs w:val="22"/>
        </w:rPr>
      </w:pPr>
      <w:r w:rsidRPr="007C0E30">
        <w:rPr>
          <w:rFonts w:ascii="Geomanist" w:hAnsi="Geomanist"/>
          <w:szCs w:val="22"/>
        </w:rPr>
        <w:t xml:space="preserve">Durante el segundo trimestre de 2024, se registró una disminución del 9% en comparación con el mismo periodo de 2023, lo que equivale a una variación absoluta de $1,249 miles de pesos. Este decremento en 2024, relacionado con el ISR e IVA retenido por servicios profesionales, </w:t>
      </w:r>
      <w:r w:rsidR="00387697" w:rsidRPr="007C0E30">
        <w:rPr>
          <w:rFonts w:ascii="Geomanist" w:hAnsi="Geomanist"/>
          <w:szCs w:val="22"/>
        </w:rPr>
        <w:t>obedece a que la Institución re</w:t>
      </w:r>
      <w:r w:rsidR="00F978C1" w:rsidRPr="007C0E30">
        <w:rPr>
          <w:rFonts w:ascii="Geomanist" w:hAnsi="Geomanist"/>
          <w:szCs w:val="22"/>
        </w:rPr>
        <w:t xml:space="preserve">alizó </w:t>
      </w:r>
      <w:r w:rsidRPr="007C0E30">
        <w:rPr>
          <w:rFonts w:ascii="Geomanist" w:hAnsi="Geomanist"/>
          <w:szCs w:val="22"/>
        </w:rPr>
        <w:t>a una menor contratación de</w:t>
      </w:r>
      <w:r w:rsidR="003A108F" w:rsidRPr="007C0E30">
        <w:rPr>
          <w:rFonts w:ascii="Geomanist" w:hAnsi="Geomanist"/>
          <w:szCs w:val="22"/>
        </w:rPr>
        <w:t xml:space="preserve"> </w:t>
      </w:r>
      <w:r w:rsidR="00F978C1" w:rsidRPr="007C0E30">
        <w:rPr>
          <w:rFonts w:ascii="Geomanist" w:hAnsi="Geomanist"/>
          <w:szCs w:val="22"/>
        </w:rPr>
        <w:t>estos servicios</w:t>
      </w:r>
      <w:r w:rsidRPr="007C0E30">
        <w:rPr>
          <w:rFonts w:ascii="Geomanist" w:hAnsi="Geomanist"/>
          <w:szCs w:val="22"/>
        </w:rPr>
        <w:t xml:space="preserve"> durante este ejercicio.</w:t>
      </w:r>
    </w:p>
    <w:p w14:paraId="62581DD5" w14:textId="77777777" w:rsidR="00F036AE" w:rsidRPr="007C0E30" w:rsidRDefault="00F036AE" w:rsidP="002F3955">
      <w:pPr>
        <w:jc w:val="both"/>
        <w:rPr>
          <w:rFonts w:ascii="Geomanist" w:hAnsi="Geomanist"/>
          <w:szCs w:val="22"/>
        </w:rPr>
      </w:pPr>
    </w:p>
    <w:p w14:paraId="53A6617F" w14:textId="77777777" w:rsidR="00F036AE" w:rsidRPr="007C0E30" w:rsidRDefault="00F036AE" w:rsidP="002F3955">
      <w:pPr>
        <w:jc w:val="both"/>
        <w:rPr>
          <w:rFonts w:ascii="Geomanist" w:hAnsi="Geomanist"/>
          <w:szCs w:val="22"/>
        </w:rPr>
      </w:pPr>
    </w:p>
    <w:p w14:paraId="1512A35D" w14:textId="5E17DAF0" w:rsidR="002F3955" w:rsidRPr="007C0E30" w:rsidRDefault="002F3955" w:rsidP="002F3955">
      <w:pPr>
        <w:jc w:val="both"/>
        <w:rPr>
          <w:rFonts w:ascii="Geomanist" w:hAnsi="Geomanist"/>
          <w:i/>
          <w:iCs/>
          <w:szCs w:val="22"/>
        </w:rPr>
      </w:pPr>
      <w:r w:rsidRPr="007C0E30">
        <w:rPr>
          <w:rFonts w:ascii="Geomanist" w:hAnsi="Geomanist"/>
          <w:i/>
          <w:iCs/>
          <w:szCs w:val="22"/>
        </w:rPr>
        <w:t xml:space="preserve">Fondos en </w:t>
      </w:r>
      <w:r w:rsidR="00F978C1" w:rsidRPr="007C0E30">
        <w:rPr>
          <w:rFonts w:ascii="Geomanist" w:hAnsi="Geomanist"/>
          <w:i/>
          <w:iCs/>
          <w:szCs w:val="22"/>
        </w:rPr>
        <w:t>a</w:t>
      </w:r>
      <w:r w:rsidRPr="007C0E30">
        <w:rPr>
          <w:rFonts w:ascii="Geomanist" w:hAnsi="Geomanist"/>
          <w:i/>
          <w:iCs/>
          <w:szCs w:val="22"/>
        </w:rPr>
        <w:t>dministración.</w:t>
      </w:r>
    </w:p>
    <w:p w14:paraId="7E826398" w14:textId="38E4AB18" w:rsidR="002F3955" w:rsidRPr="007C0E30" w:rsidRDefault="00E60342" w:rsidP="002F3955">
      <w:pPr>
        <w:jc w:val="both"/>
        <w:rPr>
          <w:rFonts w:ascii="Geomanist" w:hAnsi="Geomanist"/>
          <w:szCs w:val="22"/>
        </w:rPr>
      </w:pPr>
      <w:r w:rsidRPr="007C0E30">
        <w:rPr>
          <w:rFonts w:ascii="Geomanist" w:hAnsi="Geomanist"/>
          <w:szCs w:val="22"/>
        </w:rPr>
        <w:t>En junio de 2024, se registró una disminución del 29% en comparación con junio de 2023, lo que representa una variación absoluta de $4,562 miles de pesos. Esta disminución se debe a que varios de los proyectos de Fondos en Administración, actualmente en proceso, recibieron el 100% de su financiamiento en el ejercicio anterior y, a la fecha, se encuentran en fase de ejecución.</w:t>
      </w:r>
    </w:p>
    <w:p w14:paraId="2B1F82BF" w14:textId="77777777" w:rsidR="00E60342" w:rsidRPr="007C0E30" w:rsidRDefault="00E60342" w:rsidP="002F3955">
      <w:pPr>
        <w:jc w:val="both"/>
        <w:rPr>
          <w:rFonts w:ascii="Geomanist" w:hAnsi="Geomanist"/>
          <w:szCs w:val="22"/>
        </w:rPr>
      </w:pPr>
    </w:p>
    <w:p w14:paraId="3D550F6F" w14:textId="77777777" w:rsidR="00E60342" w:rsidRPr="007C0E30" w:rsidRDefault="00E60342" w:rsidP="002F3955">
      <w:pPr>
        <w:jc w:val="both"/>
        <w:rPr>
          <w:rFonts w:ascii="Geomanist" w:hAnsi="Geomanist"/>
          <w:szCs w:val="22"/>
        </w:rPr>
      </w:pPr>
    </w:p>
    <w:p w14:paraId="403509A8" w14:textId="72E7AFED" w:rsidR="00424D88" w:rsidRPr="007C0E30" w:rsidRDefault="00424D88" w:rsidP="002F3955">
      <w:pPr>
        <w:jc w:val="both"/>
        <w:rPr>
          <w:rFonts w:ascii="Geomanist" w:hAnsi="Geomanist"/>
          <w:i/>
          <w:iCs/>
          <w:szCs w:val="22"/>
        </w:rPr>
      </w:pPr>
      <w:r w:rsidRPr="007C0E30">
        <w:rPr>
          <w:rFonts w:ascii="Geomanist" w:hAnsi="Geomanist"/>
          <w:i/>
          <w:iCs/>
          <w:szCs w:val="22"/>
        </w:rPr>
        <w:t xml:space="preserve">Provisiones </w:t>
      </w:r>
      <w:r w:rsidR="00E37C38" w:rsidRPr="007C0E30">
        <w:rPr>
          <w:rFonts w:ascii="Geomanist" w:hAnsi="Geomanist"/>
          <w:i/>
          <w:iCs/>
          <w:szCs w:val="22"/>
        </w:rPr>
        <w:t>de demandas a</w:t>
      </w:r>
      <w:r w:rsidRPr="007C0E30">
        <w:rPr>
          <w:rFonts w:ascii="Geomanist" w:hAnsi="Geomanist"/>
          <w:i/>
          <w:iCs/>
          <w:szCs w:val="22"/>
        </w:rPr>
        <w:t xml:space="preserve"> largo plazo</w:t>
      </w:r>
    </w:p>
    <w:p w14:paraId="01EED494" w14:textId="0F2D9B68" w:rsidR="00424D88" w:rsidRPr="007C0E30" w:rsidRDefault="00C31432" w:rsidP="002F3955">
      <w:pPr>
        <w:jc w:val="both"/>
        <w:rPr>
          <w:rFonts w:ascii="Geomanist" w:hAnsi="Geomanist"/>
          <w:szCs w:val="22"/>
        </w:rPr>
      </w:pPr>
      <w:r w:rsidRPr="007C0E30">
        <w:rPr>
          <w:rFonts w:ascii="Geomanist" w:hAnsi="Geomanist"/>
          <w:szCs w:val="22"/>
        </w:rPr>
        <w:t>Durante el segundo trimestre de 2024, se actualizó la obligación por un monto de $506 miles de pesos, lo que representa un incremento del 13% en comparación con el ejercicio anterior.</w:t>
      </w:r>
    </w:p>
    <w:p w14:paraId="6FD89706" w14:textId="77777777" w:rsidR="00EE13E2" w:rsidRPr="007C0E30" w:rsidRDefault="00EE13E2" w:rsidP="002F3955">
      <w:pPr>
        <w:jc w:val="both"/>
        <w:rPr>
          <w:rFonts w:ascii="Geomanist" w:hAnsi="Geomanist"/>
          <w:szCs w:val="22"/>
        </w:rPr>
      </w:pPr>
    </w:p>
    <w:p w14:paraId="1314932A" w14:textId="77777777" w:rsidR="00A12D2E" w:rsidRPr="007C0E30" w:rsidRDefault="00A12D2E" w:rsidP="002F3955">
      <w:pPr>
        <w:jc w:val="both"/>
        <w:rPr>
          <w:rFonts w:ascii="Geomanist" w:hAnsi="Geomanist"/>
          <w:szCs w:val="22"/>
        </w:rPr>
      </w:pPr>
    </w:p>
    <w:p w14:paraId="5CA56EA9" w14:textId="433F6CCE" w:rsidR="00EE13E2" w:rsidRPr="007C0E30" w:rsidRDefault="00EE13E2" w:rsidP="002F3955">
      <w:pPr>
        <w:jc w:val="both"/>
        <w:rPr>
          <w:rFonts w:ascii="Geomanist" w:hAnsi="Geomanist"/>
          <w:i/>
          <w:iCs/>
          <w:szCs w:val="22"/>
        </w:rPr>
      </w:pPr>
      <w:r w:rsidRPr="007C0E30">
        <w:rPr>
          <w:rFonts w:ascii="Geomanist" w:hAnsi="Geomanist"/>
          <w:i/>
          <w:iCs/>
          <w:szCs w:val="22"/>
        </w:rPr>
        <w:t>Revaluó de bienes</w:t>
      </w:r>
    </w:p>
    <w:p w14:paraId="293415CA" w14:textId="2C5B3492" w:rsidR="00EE13E2" w:rsidRPr="007C0E30" w:rsidRDefault="00243CE5" w:rsidP="002F3955">
      <w:pPr>
        <w:jc w:val="both"/>
        <w:rPr>
          <w:rFonts w:ascii="Geomanist" w:hAnsi="Geomanist"/>
          <w:szCs w:val="22"/>
        </w:rPr>
      </w:pPr>
      <w:r w:rsidRPr="007C0E30">
        <w:rPr>
          <w:rFonts w:ascii="Geomanist" w:hAnsi="Geomanist"/>
          <w:szCs w:val="22"/>
        </w:rPr>
        <w:t>Durante el ejercicio 2023, la entidad cambio el método de valuación de su Bienes Inmuebles, pasando de valor histórico original actualizado por el Índice Nacional de Precios al Consumidor (INPC) hasta el ejercicio 2008 a reconocer los valores de avalúo que se determinaron aplicando el método del Instituto de Administración y Avalúos de Bienes Nacionales (INDAABIN).</w:t>
      </w:r>
      <w:r w:rsidR="002344C1" w:rsidRPr="007C0E30">
        <w:rPr>
          <w:rFonts w:ascii="Geomanist" w:hAnsi="Geomanist"/>
          <w:szCs w:val="22"/>
        </w:rPr>
        <w:t xml:space="preserve"> Este cambió represento un incremento del 100%</w:t>
      </w:r>
      <w:r w:rsidR="004D4AED" w:rsidRPr="007C0E30">
        <w:rPr>
          <w:rFonts w:ascii="Geomanist" w:hAnsi="Geomanist"/>
          <w:szCs w:val="22"/>
        </w:rPr>
        <w:t xml:space="preserve"> en la variación relativa de la cuenta de revaluó de bienes</w:t>
      </w:r>
      <w:r w:rsidR="00A12D2E" w:rsidRPr="007C0E30">
        <w:rPr>
          <w:rFonts w:ascii="Geomanist" w:hAnsi="Geomanist"/>
          <w:szCs w:val="22"/>
        </w:rPr>
        <w:t>, con una variación absoluta de 282,502 miles de pesos.</w:t>
      </w:r>
    </w:p>
    <w:sectPr w:rsidR="00EE13E2" w:rsidRPr="007C0E30" w:rsidSect="00E676A7">
      <w:pgSz w:w="12240" w:h="15840" w:code="1"/>
      <w:pgMar w:top="2126" w:right="1043"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9177" w14:textId="77777777" w:rsidR="001D7FE5" w:rsidRDefault="001D7FE5" w:rsidP="009D36E7">
      <w:r>
        <w:separator/>
      </w:r>
    </w:p>
  </w:endnote>
  <w:endnote w:type="continuationSeparator" w:id="0">
    <w:p w14:paraId="5C41BF89" w14:textId="77777777" w:rsidR="001D7FE5" w:rsidRDefault="001D7FE5"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Geomanist">
    <w:panose1 w:val="02000503000000020004"/>
    <w:charset w:val="00"/>
    <w:family w:val="modern"/>
    <w:notTrueType/>
    <w:pitch w:val="variable"/>
    <w:sig w:usb0="A000002F" w:usb1="1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8FB9" w14:textId="77777777" w:rsidR="001D7FE5" w:rsidRDefault="001D7FE5" w:rsidP="009D36E7">
      <w:r>
        <w:separator/>
      </w:r>
    </w:p>
  </w:footnote>
  <w:footnote w:type="continuationSeparator" w:id="0">
    <w:p w14:paraId="0B6798B5" w14:textId="77777777" w:rsidR="001D7FE5" w:rsidRDefault="001D7FE5"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4DC0" w14:textId="3A7829E8" w:rsidR="003D3E49" w:rsidRPr="003D3E49" w:rsidRDefault="00D56586" w:rsidP="003D3E49">
    <w:pPr>
      <w:rPr>
        <w:rFonts w:ascii="Times New Roman" w:eastAsia="Times New Roman" w:hAnsi="Times New Roman"/>
        <w:sz w:val="24"/>
        <w:lang w:val="es-MX" w:eastAsia="es-MX"/>
      </w:rPr>
    </w:pPr>
    <w:r w:rsidRPr="00225295">
      <w:rPr>
        <w:rFonts w:ascii="Aptos" w:eastAsia="Times New Roman" w:hAnsi="Aptos"/>
        <w:noProof/>
        <w:sz w:val="24"/>
      </w:rPr>
      <w:drawing>
        <wp:anchor distT="0" distB="0" distL="114300" distR="114300" simplePos="0" relativeHeight="251659264" behindDoc="0" locked="0" layoutInCell="1" allowOverlap="1" wp14:anchorId="2EEC7ACE" wp14:editId="59F2AC46">
          <wp:simplePos x="0" y="0"/>
          <wp:positionH relativeFrom="margin">
            <wp:align>center</wp:align>
          </wp:positionH>
          <wp:positionV relativeFrom="paragraph">
            <wp:posOffset>-248285</wp:posOffset>
          </wp:positionV>
          <wp:extent cx="6400008" cy="914400"/>
          <wp:effectExtent l="0" t="0" r="1270" b="0"/>
          <wp:wrapNone/>
          <wp:docPr id="39550558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24816"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6400008"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5FD86D" w14:textId="3BB4DBEB" w:rsidR="001D1271" w:rsidRDefault="001D12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3"/>
  </w:num>
  <w:num w:numId="4" w16cid:durableId="553007458">
    <w:abstractNumId w:val="20"/>
  </w:num>
  <w:num w:numId="5" w16cid:durableId="971901980">
    <w:abstractNumId w:val="2"/>
  </w:num>
  <w:num w:numId="6" w16cid:durableId="2052027261">
    <w:abstractNumId w:val="4"/>
  </w:num>
  <w:num w:numId="7" w16cid:durableId="698512186">
    <w:abstractNumId w:val="9"/>
  </w:num>
  <w:num w:numId="8" w16cid:durableId="891234912">
    <w:abstractNumId w:val="0"/>
  </w:num>
  <w:num w:numId="9" w16cid:durableId="592667921">
    <w:abstractNumId w:val="11"/>
  </w:num>
  <w:num w:numId="10" w16cid:durableId="1155612465">
    <w:abstractNumId w:val="10"/>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2"/>
  </w:num>
  <w:num w:numId="17" w16cid:durableId="1999651983">
    <w:abstractNumId w:val="14"/>
  </w:num>
  <w:num w:numId="18" w16cid:durableId="489296926">
    <w:abstractNumId w:val="15"/>
  </w:num>
  <w:num w:numId="19" w16cid:durableId="1132602520">
    <w:abstractNumId w:val="19"/>
  </w:num>
  <w:num w:numId="20" w16cid:durableId="56562469">
    <w:abstractNumId w:val="5"/>
  </w:num>
  <w:num w:numId="21" w16cid:durableId="143655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05EF3"/>
    <w:rsid w:val="00011C94"/>
    <w:rsid w:val="00011E59"/>
    <w:rsid w:val="00025A82"/>
    <w:rsid w:val="00027D4A"/>
    <w:rsid w:val="000407A2"/>
    <w:rsid w:val="00041DC8"/>
    <w:rsid w:val="0004653A"/>
    <w:rsid w:val="00050163"/>
    <w:rsid w:val="00051D96"/>
    <w:rsid w:val="00052892"/>
    <w:rsid w:val="000568A5"/>
    <w:rsid w:val="0007008B"/>
    <w:rsid w:val="00072711"/>
    <w:rsid w:val="000822F6"/>
    <w:rsid w:val="00083AF6"/>
    <w:rsid w:val="00086863"/>
    <w:rsid w:val="00095511"/>
    <w:rsid w:val="000A0052"/>
    <w:rsid w:val="000B512C"/>
    <w:rsid w:val="000C2A3D"/>
    <w:rsid w:val="000D0ECB"/>
    <w:rsid w:val="000D1070"/>
    <w:rsid w:val="00104C6B"/>
    <w:rsid w:val="00111FC4"/>
    <w:rsid w:val="0013160D"/>
    <w:rsid w:val="00136142"/>
    <w:rsid w:val="00136E0F"/>
    <w:rsid w:val="00144D4B"/>
    <w:rsid w:val="00150AF3"/>
    <w:rsid w:val="00152C3A"/>
    <w:rsid w:val="00154CAC"/>
    <w:rsid w:val="00170643"/>
    <w:rsid w:val="00170F47"/>
    <w:rsid w:val="00183A1B"/>
    <w:rsid w:val="001870D0"/>
    <w:rsid w:val="00194865"/>
    <w:rsid w:val="00195D97"/>
    <w:rsid w:val="001A1EB6"/>
    <w:rsid w:val="001B3E27"/>
    <w:rsid w:val="001B4D38"/>
    <w:rsid w:val="001B7E38"/>
    <w:rsid w:val="001D07B4"/>
    <w:rsid w:val="001D1271"/>
    <w:rsid w:val="001D4A23"/>
    <w:rsid w:val="001D7FE5"/>
    <w:rsid w:val="001E4FF2"/>
    <w:rsid w:val="001F3DCD"/>
    <w:rsid w:val="00205E92"/>
    <w:rsid w:val="00212042"/>
    <w:rsid w:val="00216AA3"/>
    <w:rsid w:val="0022665B"/>
    <w:rsid w:val="002344C1"/>
    <w:rsid w:val="00236D2B"/>
    <w:rsid w:val="00243CE5"/>
    <w:rsid w:val="002440BD"/>
    <w:rsid w:val="00250052"/>
    <w:rsid w:val="002575D5"/>
    <w:rsid w:val="002671A7"/>
    <w:rsid w:val="00267A36"/>
    <w:rsid w:val="0028074F"/>
    <w:rsid w:val="002858B0"/>
    <w:rsid w:val="00287B6E"/>
    <w:rsid w:val="00292167"/>
    <w:rsid w:val="002A37BD"/>
    <w:rsid w:val="002B7385"/>
    <w:rsid w:val="002C041C"/>
    <w:rsid w:val="002C0BD4"/>
    <w:rsid w:val="002C0E25"/>
    <w:rsid w:val="002C11E5"/>
    <w:rsid w:val="002C1F9A"/>
    <w:rsid w:val="002C3F35"/>
    <w:rsid w:val="002E07A7"/>
    <w:rsid w:val="002E4D11"/>
    <w:rsid w:val="002F3955"/>
    <w:rsid w:val="003057D3"/>
    <w:rsid w:val="00307400"/>
    <w:rsid w:val="00311D20"/>
    <w:rsid w:val="00320742"/>
    <w:rsid w:val="00320B24"/>
    <w:rsid w:val="00320FC5"/>
    <w:rsid w:val="00323F1C"/>
    <w:rsid w:val="003252C8"/>
    <w:rsid w:val="00340623"/>
    <w:rsid w:val="00354CD9"/>
    <w:rsid w:val="0036062E"/>
    <w:rsid w:val="00363CE5"/>
    <w:rsid w:val="00367B7E"/>
    <w:rsid w:val="00373B9B"/>
    <w:rsid w:val="00383CB8"/>
    <w:rsid w:val="00386360"/>
    <w:rsid w:val="00387697"/>
    <w:rsid w:val="00396E41"/>
    <w:rsid w:val="003A108F"/>
    <w:rsid w:val="003A17A9"/>
    <w:rsid w:val="003B351B"/>
    <w:rsid w:val="003B7978"/>
    <w:rsid w:val="003D3E49"/>
    <w:rsid w:val="003D5381"/>
    <w:rsid w:val="003F078F"/>
    <w:rsid w:val="003F3B4C"/>
    <w:rsid w:val="003F4B33"/>
    <w:rsid w:val="00405A69"/>
    <w:rsid w:val="004113A6"/>
    <w:rsid w:val="0041470A"/>
    <w:rsid w:val="0041677E"/>
    <w:rsid w:val="00424D88"/>
    <w:rsid w:val="0042744C"/>
    <w:rsid w:val="004279BF"/>
    <w:rsid w:val="0043149E"/>
    <w:rsid w:val="004467D4"/>
    <w:rsid w:val="00453810"/>
    <w:rsid w:val="00471892"/>
    <w:rsid w:val="00482A00"/>
    <w:rsid w:val="0049327B"/>
    <w:rsid w:val="0049481A"/>
    <w:rsid w:val="004A09C3"/>
    <w:rsid w:val="004A6158"/>
    <w:rsid w:val="004B51D0"/>
    <w:rsid w:val="004C2FD6"/>
    <w:rsid w:val="004C37A1"/>
    <w:rsid w:val="004C7C15"/>
    <w:rsid w:val="004D0594"/>
    <w:rsid w:val="004D11D6"/>
    <w:rsid w:val="004D245F"/>
    <w:rsid w:val="004D4AED"/>
    <w:rsid w:val="004D70E7"/>
    <w:rsid w:val="004D7373"/>
    <w:rsid w:val="004E5237"/>
    <w:rsid w:val="00510037"/>
    <w:rsid w:val="005163B5"/>
    <w:rsid w:val="0051698F"/>
    <w:rsid w:val="00517093"/>
    <w:rsid w:val="0052160E"/>
    <w:rsid w:val="005219A6"/>
    <w:rsid w:val="005325DD"/>
    <w:rsid w:val="005360E5"/>
    <w:rsid w:val="005411BF"/>
    <w:rsid w:val="005672A8"/>
    <w:rsid w:val="00570476"/>
    <w:rsid w:val="005704FF"/>
    <w:rsid w:val="00572F28"/>
    <w:rsid w:val="00572F3E"/>
    <w:rsid w:val="00574739"/>
    <w:rsid w:val="0058580A"/>
    <w:rsid w:val="00590A40"/>
    <w:rsid w:val="00592A26"/>
    <w:rsid w:val="00593BEC"/>
    <w:rsid w:val="00595866"/>
    <w:rsid w:val="005B094B"/>
    <w:rsid w:val="005B4223"/>
    <w:rsid w:val="005C1816"/>
    <w:rsid w:val="005C3D69"/>
    <w:rsid w:val="005D3077"/>
    <w:rsid w:val="005D7820"/>
    <w:rsid w:val="005D79FF"/>
    <w:rsid w:val="005D7FA7"/>
    <w:rsid w:val="005E1ED3"/>
    <w:rsid w:val="005E46A8"/>
    <w:rsid w:val="005F5D9E"/>
    <w:rsid w:val="005F6A2E"/>
    <w:rsid w:val="005F7B94"/>
    <w:rsid w:val="00604A61"/>
    <w:rsid w:val="00606D05"/>
    <w:rsid w:val="006123F0"/>
    <w:rsid w:val="006166BF"/>
    <w:rsid w:val="00617FA7"/>
    <w:rsid w:val="0062304F"/>
    <w:rsid w:val="00653110"/>
    <w:rsid w:val="00656738"/>
    <w:rsid w:val="00663F43"/>
    <w:rsid w:val="00664395"/>
    <w:rsid w:val="00670234"/>
    <w:rsid w:val="006731D8"/>
    <w:rsid w:val="00675185"/>
    <w:rsid w:val="00676729"/>
    <w:rsid w:val="00683C9B"/>
    <w:rsid w:val="0069610A"/>
    <w:rsid w:val="006964DB"/>
    <w:rsid w:val="006A1429"/>
    <w:rsid w:val="006B0E9C"/>
    <w:rsid w:val="006C2BC8"/>
    <w:rsid w:val="006F4267"/>
    <w:rsid w:val="00707E8F"/>
    <w:rsid w:val="0071682A"/>
    <w:rsid w:val="00725A6E"/>
    <w:rsid w:val="00743CF4"/>
    <w:rsid w:val="00745BA0"/>
    <w:rsid w:val="0074600C"/>
    <w:rsid w:val="0074692E"/>
    <w:rsid w:val="00752ACA"/>
    <w:rsid w:val="00753F24"/>
    <w:rsid w:val="00755E60"/>
    <w:rsid w:val="00756733"/>
    <w:rsid w:val="00757AF9"/>
    <w:rsid w:val="00772CB4"/>
    <w:rsid w:val="007748C1"/>
    <w:rsid w:val="0079005D"/>
    <w:rsid w:val="007A0AB1"/>
    <w:rsid w:val="007A4CF8"/>
    <w:rsid w:val="007C0E30"/>
    <w:rsid w:val="007C12B5"/>
    <w:rsid w:val="007C60BB"/>
    <w:rsid w:val="007D2B61"/>
    <w:rsid w:val="007D6DC9"/>
    <w:rsid w:val="007D7503"/>
    <w:rsid w:val="007E052C"/>
    <w:rsid w:val="007E7893"/>
    <w:rsid w:val="007F2270"/>
    <w:rsid w:val="0080262A"/>
    <w:rsid w:val="00827751"/>
    <w:rsid w:val="0083076E"/>
    <w:rsid w:val="008504A8"/>
    <w:rsid w:val="0085064B"/>
    <w:rsid w:val="0085579C"/>
    <w:rsid w:val="00856363"/>
    <w:rsid w:val="008666E2"/>
    <w:rsid w:val="0086676A"/>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4760D"/>
    <w:rsid w:val="00950F2F"/>
    <w:rsid w:val="00953876"/>
    <w:rsid w:val="00961E3B"/>
    <w:rsid w:val="00964BAF"/>
    <w:rsid w:val="009677C6"/>
    <w:rsid w:val="009807D5"/>
    <w:rsid w:val="00982D83"/>
    <w:rsid w:val="009A2C01"/>
    <w:rsid w:val="009A6272"/>
    <w:rsid w:val="009A7608"/>
    <w:rsid w:val="009C4DCE"/>
    <w:rsid w:val="009C4DF5"/>
    <w:rsid w:val="009D36E7"/>
    <w:rsid w:val="009E1382"/>
    <w:rsid w:val="009E20D7"/>
    <w:rsid w:val="009F2B66"/>
    <w:rsid w:val="009F4C6F"/>
    <w:rsid w:val="009F70AB"/>
    <w:rsid w:val="00A0050B"/>
    <w:rsid w:val="00A12D2E"/>
    <w:rsid w:val="00A13732"/>
    <w:rsid w:val="00A16B2D"/>
    <w:rsid w:val="00A20A03"/>
    <w:rsid w:val="00A21BB3"/>
    <w:rsid w:val="00A30664"/>
    <w:rsid w:val="00A31AD8"/>
    <w:rsid w:val="00A3380B"/>
    <w:rsid w:val="00A34EBC"/>
    <w:rsid w:val="00A537D1"/>
    <w:rsid w:val="00A54D3C"/>
    <w:rsid w:val="00A61975"/>
    <w:rsid w:val="00A66B2A"/>
    <w:rsid w:val="00A74BA4"/>
    <w:rsid w:val="00A83211"/>
    <w:rsid w:val="00A90343"/>
    <w:rsid w:val="00A919A5"/>
    <w:rsid w:val="00A926CB"/>
    <w:rsid w:val="00AA26F9"/>
    <w:rsid w:val="00AA3E88"/>
    <w:rsid w:val="00AA61C8"/>
    <w:rsid w:val="00AB10F4"/>
    <w:rsid w:val="00AD4706"/>
    <w:rsid w:val="00AD6B65"/>
    <w:rsid w:val="00AE6874"/>
    <w:rsid w:val="00AF6C38"/>
    <w:rsid w:val="00B0518D"/>
    <w:rsid w:val="00B11517"/>
    <w:rsid w:val="00B22D66"/>
    <w:rsid w:val="00B35563"/>
    <w:rsid w:val="00B51C38"/>
    <w:rsid w:val="00B526EA"/>
    <w:rsid w:val="00B60AD9"/>
    <w:rsid w:val="00B60EB7"/>
    <w:rsid w:val="00B61D00"/>
    <w:rsid w:val="00B668B1"/>
    <w:rsid w:val="00B71D27"/>
    <w:rsid w:val="00B854EF"/>
    <w:rsid w:val="00B95DAB"/>
    <w:rsid w:val="00BA65D8"/>
    <w:rsid w:val="00BB078F"/>
    <w:rsid w:val="00BC21E4"/>
    <w:rsid w:val="00BC319C"/>
    <w:rsid w:val="00BC4A47"/>
    <w:rsid w:val="00BC5C9F"/>
    <w:rsid w:val="00BD1B5C"/>
    <w:rsid w:val="00BD383B"/>
    <w:rsid w:val="00BD5F10"/>
    <w:rsid w:val="00BE0AC0"/>
    <w:rsid w:val="00BE197E"/>
    <w:rsid w:val="00BE20EE"/>
    <w:rsid w:val="00BE3756"/>
    <w:rsid w:val="00BE573E"/>
    <w:rsid w:val="00BE7CA3"/>
    <w:rsid w:val="00BF12CC"/>
    <w:rsid w:val="00BF4FFF"/>
    <w:rsid w:val="00C06E02"/>
    <w:rsid w:val="00C150C7"/>
    <w:rsid w:val="00C178C0"/>
    <w:rsid w:val="00C23DA1"/>
    <w:rsid w:val="00C31432"/>
    <w:rsid w:val="00C45BA3"/>
    <w:rsid w:val="00C52F05"/>
    <w:rsid w:val="00C7039D"/>
    <w:rsid w:val="00C705CE"/>
    <w:rsid w:val="00C8349E"/>
    <w:rsid w:val="00C84099"/>
    <w:rsid w:val="00C90F4C"/>
    <w:rsid w:val="00C95428"/>
    <w:rsid w:val="00CA54D6"/>
    <w:rsid w:val="00CA7F52"/>
    <w:rsid w:val="00CC094A"/>
    <w:rsid w:val="00CD4F4A"/>
    <w:rsid w:val="00CD6791"/>
    <w:rsid w:val="00CF0007"/>
    <w:rsid w:val="00CF7F7D"/>
    <w:rsid w:val="00D32E85"/>
    <w:rsid w:val="00D33A0C"/>
    <w:rsid w:val="00D35A87"/>
    <w:rsid w:val="00D35BC6"/>
    <w:rsid w:val="00D364D5"/>
    <w:rsid w:val="00D43838"/>
    <w:rsid w:val="00D46117"/>
    <w:rsid w:val="00D51E40"/>
    <w:rsid w:val="00D56586"/>
    <w:rsid w:val="00D632B9"/>
    <w:rsid w:val="00D80B2F"/>
    <w:rsid w:val="00D83883"/>
    <w:rsid w:val="00DA1185"/>
    <w:rsid w:val="00DD27D7"/>
    <w:rsid w:val="00DD2D6B"/>
    <w:rsid w:val="00DD3C11"/>
    <w:rsid w:val="00DF7567"/>
    <w:rsid w:val="00E028F2"/>
    <w:rsid w:val="00E049C4"/>
    <w:rsid w:val="00E07987"/>
    <w:rsid w:val="00E11592"/>
    <w:rsid w:val="00E12434"/>
    <w:rsid w:val="00E25749"/>
    <w:rsid w:val="00E33122"/>
    <w:rsid w:val="00E37C38"/>
    <w:rsid w:val="00E51C89"/>
    <w:rsid w:val="00E5249B"/>
    <w:rsid w:val="00E60342"/>
    <w:rsid w:val="00E61C2C"/>
    <w:rsid w:val="00E6486D"/>
    <w:rsid w:val="00E676A7"/>
    <w:rsid w:val="00E81AAB"/>
    <w:rsid w:val="00E841B2"/>
    <w:rsid w:val="00E86853"/>
    <w:rsid w:val="00E87CA6"/>
    <w:rsid w:val="00EA1EA7"/>
    <w:rsid w:val="00EA2425"/>
    <w:rsid w:val="00EB1332"/>
    <w:rsid w:val="00EB32CF"/>
    <w:rsid w:val="00EC247D"/>
    <w:rsid w:val="00EC6D62"/>
    <w:rsid w:val="00EE13E2"/>
    <w:rsid w:val="00EF3122"/>
    <w:rsid w:val="00F02E92"/>
    <w:rsid w:val="00F03248"/>
    <w:rsid w:val="00F036AE"/>
    <w:rsid w:val="00F21C2E"/>
    <w:rsid w:val="00F31C7E"/>
    <w:rsid w:val="00F42039"/>
    <w:rsid w:val="00F5698B"/>
    <w:rsid w:val="00F61DDD"/>
    <w:rsid w:val="00F639E5"/>
    <w:rsid w:val="00F63D18"/>
    <w:rsid w:val="00F65FB0"/>
    <w:rsid w:val="00F91E36"/>
    <w:rsid w:val="00F978C1"/>
    <w:rsid w:val="00FA293F"/>
    <w:rsid w:val="00FA71C3"/>
    <w:rsid w:val="00FC3AC7"/>
    <w:rsid w:val="00FD0690"/>
    <w:rsid w:val="00FD5A43"/>
    <w:rsid w:val="00FE1F2C"/>
    <w:rsid w:val="00FE567F"/>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5941">
      <w:bodyDiv w:val="1"/>
      <w:marLeft w:val="0"/>
      <w:marRight w:val="0"/>
      <w:marTop w:val="0"/>
      <w:marBottom w:val="0"/>
      <w:divBdr>
        <w:top w:val="none" w:sz="0" w:space="0" w:color="auto"/>
        <w:left w:val="none" w:sz="0" w:space="0" w:color="auto"/>
        <w:bottom w:val="none" w:sz="0" w:space="0" w:color="auto"/>
        <w:right w:val="none" w:sz="0" w:space="0" w:color="auto"/>
      </w:divBdr>
    </w:div>
    <w:div w:id="614140746">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55169529">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6031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Leticia Espinosa Cruz</cp:lastModifiedBy>
  <cp:revision>62</cp:revision>
  <cp:lastPrinted>2023-05-02T22:31:00Z</cp:lastPrinted>
  <dcterms:created xsi:type="dcterms:W3CDTF">2024-08-12T20:17:00Z</dcterms:created>
  <dcterms:modified xsi:type="dcterms:W3CDTF">2024-11-06T16:15:00Z</dcterms:modified>
</cp:coreProperties>
</file>