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CACF" w14:textId="75049DB3" w:rsidR="00EB5D2E" w:rsidRPr="00D96866" w:rsidRDefault="00986BA8" w:rsidP="00352605">
      <w:pPr>
        <w:pStyle w:val="Prrafodelista"/>
        <w:spacing w:after="0" w:line="240" w:lineRule="auto"/>
        <w:ind w:left="0"/>
        <w:jc w:val="both"/>
        <w:rPr>
          <w:rFonts w:ascii="Geomanist" w:hAnsi="Geomanist"/>
          <w:b/>
          <w:bCs/>
          <w:sz w:val="28"/>
          <w:szCs w:val="28"/>
        </w:rPr>
      </w:pPr>
      <w:r w:rsidRPr="00D96866">
        <w:rPr>
          <w:rFonts w:ascii="Geomanist" w:hAnsi="Geomanist"/>
          <w:b/>
          <w:bCs/>
          <w:sz w:val="28"/>
          <w:szCs w:val="28"/>
        </w:rPr>
        <w:t xml:space="preserve">7. </w:t>
      </w:r>
      <w:r w:rsidR="000343FB" w:rsidRPr="00D96866">
        <w:rPr>
          <w:rFonts w:ascii="Geomanist" w:hAnsi="Geomanist"/>
          <w:b/>
          <w:bCs/>
          <w:sz w:val="28"/>
          <w:szCs w:val="28"/>
        </w:rPr>
        <w:t>Presentaci</w:t>
      </w:r>
      <w:r w:rsidR="00092E0F" w:rsidRPr="00D96866">
        <w:rPr>
          <w:rFonts w:ascii="Geomanist" w:hAnsi="Geomanist"/>
          <w:b/>
          <w:bCs/>
          <w:sz w:val="28"/>
          <w:szCs w:val="28"/>
        </w:rPr>
        <w:t>ó</w:t>
      </w:r>
      <w:r w:rsidR="000343FB" w:rsidRPr="00D96866">
        <w:rPr>
          <w:rFonts w:ascii="Geomanist" w:hAnsi="Geomanist"/>
          <w:b/>
          <w:bCs/>
          <w:sz w:val="28"/>
          <w:szCs w:val="28"/>
        </w:rPr>
        <w:t>n por la persona Titular del Centro de los avances correspondientes al proceso de armonización normativa derivado de la implementación de la LGHCTI</w:t>
      </w:r>
    </w:p>
    <w:p w14:paraId="4B123861" w14:textId="77777777" w:rsidR="00EB5D2E" w:rsidRPr="001B1BC9" w:rsidRDefault="00EB5D2E" w:rsidP="00EB5D2E">
      <w:pPr>
        <w:pStyle w:val="Prrafodelista"/>
        <w:spacing w:after="0"/>
        <w:ind w:left="0"/>
        <w:jc w:val="both"/>
        <w:rPr>
          <w:rFonts w:ascii="Geomanist" w:hAnsi="Geomanist"/>
          <w:b/>
          <w:bCs/>
        </w:rPr>
      </w:pPr>
    </w:p>
    <w:p w14:paraId="75A46FA1" w14:textId="702E6069" w:rsidR="00401047" w:rsidRDefault="001869E9" w:rsidP="008F4C9A">
      <w:pPr>
        <w:spacing w:after="0" w:line="276" w:lineRule="auto"/>
        <w:jc w:val="both"/>
        <w:rPr>
          <w:rFonts w:ascii="Geomanist" w:hAnsi="Geomanist"/>
        </w:rPr>
      </w:pPr>
      <w:r w:rsidRPr="001B1BC9">
        <w:rPr>
          <w:rFonts w:ascii="Geomanist" w:hAnsi="Geomanist"/>
        </w:rPr>
        <w:t>A continuación</w:t>
      </w:r>
      <w:r w:rsidR="00401047" w:rsidRPr="001B1BC9">
        <w:rPr>
          <w:rFonts w:ascii="Geomanist" w:hAnsi="Geomanist"/>
        </w:rPr>
        <w:t>,</w:t>
      </w:r>
      <w:r w:rsidRPr="001B1BC9">
        <w:rPr>
          <w:rFonts w:ascii="Geomanist" w:hAnsi="Geomanist"/>
        </w:rPr>
        <w:t xml:space="preserve"> se presentan </w:t>
      </w:r>
      <w:r w:rsidR="000E53A0" w:rsidRPr="001B1BC9">
        <w:rPr>
          <w:rFonts w:ascii="Geomanist" w:hAnsi="Geomanist"/>
        </w:rPr>
        <w:t xml:space="preserve">los </w:t>
      </w:r>
      <w:r w:rsidRPr="001B1BC9">
        <w:rPr>
          <w:rFonts w:ascii="Geomanist" w:hAnsi="Geomanist"/>
        </w:rPr>
        <w:t>avances generales</w:t>
      </w:r>
      <w:r w:rsidR="000E53A0" w:rsidRPr="001B1BC9">
        <w:rPr>
          <w:rFonts w:ascii="Geomanist" w:hAnsi="Geomanist"/>
        </w:rPr>
        <w:t xml:space="preserve"> de</w:t>
      </w:r>
      <w:r w:rsidR="00DF52C4" w:rsidRPr="001B1BC9">
        <w:rPr>
          <w:rFonts w:ascii="Geomanist" w:hAnsi="Geomanist"/>
        </w:rPr>
        <w:t xml:space="preserve"> </w:t>
      </w:r>
      <w:r w:rsidR="008F4C9A" w:rsidRPr="008F4C9A">
        <w:rPr>
          <w:rFonts w:ascii="Geomanist" w:hAnsi="Geomanist"/>
        </w:rPr>
        <w:t xml:space="preserve">El Colegio de la Frontera Sur (ECOSUR) </w:t>
      </w:r>
      <w:r w:rsidR="000E53A0" w:rsidRPr="001B1BC9">
        <w:rPr>
          <w:rFonts w:ascii="Geomanist" w:hAnsi="Geomanist"/>
        </w:rPr>
        <w:t xml:space="preserve">en </w:t>
      </w:r>
      <w:r w:rsidR="007E02F8" w:rsidRPr="001B1BC9">
        <w:rPr>
          <w:rFonts w:ascii="Geomanist" w:hAnsi="Geomanist"/>
        </w:rPr>
        <w:t>los temas relacionados con la armonización normativa</w:t>
      </w:r>
      <w:r w:rsidR="004E7ACF" w:rsidRPr="001B1BC9">
        <w:rPr>
          <w:rFonts w:ascii="Geomanist" w:hAnsi="Geomanist"/>
        </w:rPr>
        <w:t xml:space="preserve"> </w:t>
      </w:r>
      <w:r w:rsidR="008F4C9A" w:rsidRPr="008F4C9A">
        <w:rPr>
          <w:rFonts w:ascii="Geomanist" w:hAnsi="Geomanist"/>
        </w:rPr>
        <w:t xml:space="preserve">conforme a la Ley General en </w:t>
      </w:r>
      <w:r w:rsidR="00960537">
        <w:rPr>
          <w:rFonts w:ascii="Geomanist" w:hAnsi="Geomanist"/>
        </w:rPr>
        <w:t>m</w:t>
      </w:r>
      <w:r w:rsidR="008F4C9A" w:rsidRPr="008F4C9A">
        <w:rPr>
          <w:rFonts w:ascii="Geomanist" w:hAnsi="Geomanist"/>
        </w:rPr>
        <w:t>ateria de Humanidades, Ciencias, Tecnologías e Innovación (LGHCTI).</w:t>
      </w:r>
      <w:r w:rsidR="008F4C9A">
        <w:rPr>
          <w:rFonts w:ascii="Geomanist" w:hAnsi="Geomanist"/>
        </w:rPr>
        <w:t xml:space="preserve"> </w:t>
      </w:r>
    </w:p>
    <w:p w14:paraId="28A40D1F" w14:textId="77777777" w:rsidR="008F4C9A" w:rsidRPr="001B1BC9" w:rsidRDefault="008F4C9A" w:rsidP="008F4C9A">
      <w:pPr>
        <w:spacing w:after="0" w:line="276" w:lineRule="auto"/>
        <w:jc w:val="both"/>
        <w:rPr>
          <w:rFonts w:ascii="Geomanist" w:hAnsi="Geomanist"/>
        </w:rPr>
      </w:pPr>
    </w:p>
    <w:p w14:paraId="1017269D" w14:textId="727624D8" w:rsidR="00F174A3" w:rsidRPr="001B1BC9" w:rsidRDefault="009D6547" w:rsidP="00EB5D2E">
      <w:pPr>
        <w:spacing w:after="0" w:line="276" w:lineRule="auto"/>
        <w:jc w:val="both"/>
        <w:rPr>
          <w:rFonts w:ascii="Geomanist" w:hAnsi="Geomanist"/>
          <w:b/>
          <w:bCs/>
        </w:rPr>
      </w:pPr>
      <w:r w:rsidRPr="001B1BC9">
        <w:rPr>
          <w:rFonts w:ascii="Geomanist" w:hAnsi="Geomanist"/>
          <w:b/>
          <w:bCs/>
        </w:rPr>
        <w:t>Asamblea</w:t>
      </w:r>
      <w:r w:rsidR="00F97B2B" w:rsidRPr="001B1BC9">
        <w:rPr>
          <w:rFonts w:ascii="Geomanist" w:hAnsi="Geomanist"/>
          <w:b/>
          <w:bCs/>
        </w:rPr>
        <w:t xml:space="preserve"> y</w:t>
      </w:r>
      <w:r w:rsidRPr="001B1BC9">
        <w:rPr>
          <w:rFonts w:ascii="Geomanist" w:hAnsi="Geomanist"/>
          <w:b/>
          <w:bCs/>
        </w:rPr>
        <w:t xml:space="preserve"> </w:t>
      </w:r>
      <w:r w:rsidR="00F174A3" w:rsidRPr="001B1BC9">
        <w:rPr>
          <w:rFonts w:ascii="Geomanist" w:hAnsi="Geomanist"/>
          <w:b/>
          <w:bCs/>
        </w:rPr>
        <w:t>Consejo Consultivo Interno (C</w:t>
      </w:r>
      <w:r w:rsidR="008F4C9A">
        <w:rPr>
          <w:rFonts w:ascii="Geomanist" w:hAnsi="Geomanist"/>
          <w:b/>
          <w:bCs/>
        </w:rPr>
        <w:t>C</w:t>
      </w:r>
      <w:r w:rsidR="00F174A3" w:rsidRPr="001B1BC9">
        <w:rPr>
          <w:rFonts w:ascii="Geomanist" w:hAnsi="Geomanist"/>
          <w:b/>
          <w:bCs/>
        </w:rPr>
        <w:t>I)</w:t>
      </w:r>
      <w:r w:rsidRPr="001B1BC9">
        <w:rPr>
          <w:rFonts w:ascii="Geomanist" w:hAnsi="Geomanist"/>
          <w:b/>
          <w:bCs/>
        </w:rPr>
        <w:t xml:space="preserve"> </w:t>
      </w:r>
    </w:p>
    <w:p w14:paraId="1CC65BC7" w14:textId="7419EE89" w:rsidR="00F174A3" w:rsidRPr="001B1BC9" w:rsidRDefault="008F4C9A" w:rsidP="00EB5D2E">
      <w:pPr>
        <w:spacing w:after="0" w:line="276" w:lineRule="auto"/>
        <w:jc w:val="both"/>
        <w:rPr>
          <w:rFonts w:ascii="Geomanist" w:hAnsi="Geomanist"/>
        </w:rPr>
      </w:pPr>
      <w:r w:rsidRPr="008F4C9A">
        <w:rPr>
          <w:rFonts w:ascii="Geomanist" w:hAnsi="Geomanist"/>
        </w:rPr>
        <w:t>En las fechas 22 y 23 de febrero de 2024,</w:t>
      </w:r>
      <w:r>
        <w:rPr>
          <w:rFonts w:ascii="Geomanist" w:hAnsi="Geomanist"/>
        </w:rPr>
        <w:t xml:space="preserve"> </w:t>
      </w:r>
      <w:r w:rsidR="00567FDC" w:rsidRPr="001B1BC9">
        <w:rPr>
          <w:rFonts w:ascii="Geomanist" w:hAnsi="Geomanist"/>
        </w:rPr>
        <w:t xml:space="preserve">se realizó </w:t>
      </w:r>
      <w:r w:rsidR="00F622B6" w:rsidRPr="001B1BC9">
        <w:rPr>
          <w:rFonts w:ascii="Geomanist" w:hAnsi="Geomanist"/>
        </w:rPr>
        <w:t xml:space="preserve">la última sesión del Consejo Técnico Consultivo Interno (CTCI) de ECOSUR, </w:t>
      </w:r>
      <w:r w:rsidR="00320E8F" w:rsidRPr="001B1BC9">
        <w:rPr>
          <w:rFonts w:ascii="Geomanist" w:hAnsi="Geomanist"/>
        </w:rPr>
        <w:t>donde se tomó el siguiente Acuerdo:</w:t>
      </w:r>
    </w:p>
    <w:p w14:paraId="60FD0155" w14:textId="77777777" w:rsidR="008F4C9A" w:rsidRPr="001B1BC9" w:rsidRDefault="008F4C9A" w:rsidP="008F4C9A">
      <w:pPr>
        <w:pStyle w:val="Default"/>
        <w:rPr>
          <w:rFonts w:ascii="Geomanist" w:hAnsi="Geomanist"/>
          <w:b/>
          <w:bCs/>
          <w:color w:val="auto"/>
          <w:sz w:val="22"/>
          <w:szCs w:val="22"/>
        </w:rPr>
      </w:pPr>
    </w:p>
    <w:p w14:paraId="048F2303" w14:textId="635BF4C8" w:rsidR="00B57AC4" w:rsidRPr="001B1BC9" w:rsidRDefault="00B57AC4" w:rsidP="00B57AC4">
      <w:pPr>
        <w:pStyle w:val="Default"/>
        <w:rPr>
          <w:rFonts w:ascii="Geomanist" w:hAnsi="Geomanist"/>
          <w:color w:val="auto"/>
          <w:sz w:val="22"/>
          <w:szCs w:val="22"/>
        </w:rPr>
      </w:pPr>
      <w:r w:rsidRPr="001B1BC9">
        <w:rPr>
          <w:rFonts w:ascii="Geomanist" w:hAnsi="Geomanist"/>
          <w:color w:val="auto"/>
          <w:sz w:val="22"/>
          <w:szCs w:val="22"/>
        </w:rPr>
        <w:t xml:space="preserve">Acuerdo CTC-O-1-24-01 </w:t>
      </w:r>
    </w:p>
    <w:p w14:paraId="023ECA8A" w14:textId="77777777" w:rsidR="00B57AC4" w:rsidRPr="001B1BC9" w:rsidRDefault="00B57AC4" w:rsidP="00320E8F">
      <w:pPr>
        <w:pStyle w:val="Default"/>
        <w:numPr>
          <w:ilvl w:val="0"/>
          <w:numId w:val="2"/>
        </w:numPr>
        <w:ind w:left="567" w:hanging="284"/>
        <w:jc w:val="both"/>
        <w:rPr>
          <w:rFonts w:ascii="Geomanist" w:hAnsi="Geomanist"/>
          <w:color w:val="auto"/>
          <w:sz w:val="23"/>
          <w:szCs w:val="23"/>
        </w:rPr>
      </w:pPr>
      <w:r w:rsidRPr="001B1BC9">
        <w:rPr>
          <w:rFonts w:ascii="Geomanist" w:hAnsi="Geomanist"/>
          <w:color w:val="auto"/>
          <w:sz w:val="23"/>
          <w:szCs w:val="23"/>
        </w:rPr>
        <w:t xml:space="preserve">A partir de la creación de un Comité Académico, un Consejo Consultivo Interno y una Asamblea del personal de investigación, se disuelve el Consejo Técnico Consultivo Interno. </w:t>
      </w:r>
    </w:p>
    <w:p w14:paraId="3DECB632" w14:textId="71F8EE8C" w:rsidR="00B57AC4" w:rsidRPr="001B1BC9" w:rsidRDefault="00B57AC4" w:rsidP="00320E8F">
      <w:pPr>
        <w:pStyle w:val="Default"/>
        <w:numPr>
          <w:ilvl w:val="0"/>
          <w:numId w:val="2"/>
        </w:numPr>
        <w:ind w:left="567" w:hanging="284"/>
        <w:jc w:val="both"/>
        <w:rPr>
          <w:rFonts w:ascii="Geomanist" w:hAnsi="Geomanist"/>
          <w:color w:val="auto"/>
          <w:sz w:val="23"/>
          <w:szCs w:val="23"/>
        </w:rPr>
      </w:pPr>
      <w:r w:rsidRPr="001B1BC9">
        <w:rPr>
          <w:rFonts w:ascii="Geomanist" w:hAnsi="Geomanist"/>
          <w:color w:val="auto"/>
          <w:sz w:val="23"/>
          <w:szCs w:val="23"/>
        </w:rPr>
        <w:t>Se renueva un espacio de diálogo para las unidades a partir de la conformación de un Comité de las coordinaciones de unidad respaldado por la Coordinación de Desarrollo Organizacional</w:t>
      </w:r>
      <w:r w:rsidR="008F4C9A">
        <w:rPr>
          <w:rFonts w:ascii="Geomanist" w:hAnsi="Geomanist"/>
          <w:color w:val="auto"/>
          <w:sz w:val="23"/>
          <w:szCs w:val="23"/>
        </w:rPr>
        <w:t xml:space="preserve"> (actualmente, Coordinación de Articulación y Fortalecimiento Institucional)</w:t>
      </w:r>
      <w:r w:rsidRPr="001B1BC9">
        <w:rPr>
          <w:rFonts w:ascii="Geomanist" w:hAnsi="Geomanist"/>
          <w:color w:val="auto"/>
          <w:sz w:val="23"/>
          <w:szCs w:val="23"/>
        </w:rPr>
        <w:t xml:space="preserve">. </w:t>
      </w:r>
    </w:p>
    <w:p w14:paraId="3D16807F" w14:textId="1508324E" w:rsidR="00B57AC4" w:rsidRPr="001B1BC9" w:rsidRDefault="00B57AC4" w:rsidP="00320E8F">
      <w:pPr>
        <w:pStyle w:val="Default"/>
        <w:numPr>
          <w:ilvl w:val="0"/>
          <w:numId w:val="2"/>
        </w:numPr>
        <w:ind w:left="567" w:hanging="284"/>
        <w:jc w:val="both"/>
        <w:rPr>
          <w:rFonts w:ascii="Geomanist" w:hAnsi="Geomanist"/>
          <w:color w:val="auto"/>
          <w:sz w:val="23"/>
          <w:szCs w:val="23"/>
        </w:rPr>
      </w:pPr>
      <w:r w:rsidRPr="001B1BC9">
        <w:rPr>
          <w:rFonts w:ascii="Geomanist" w:hAnsi="Geomanist"/>
          <w:color w:val="auto"/>
          <w:sz w:val="23"/>
          <w:szCs w:val="23"/>
        </w:rPr>
        <w:t xml:space="preserve">Se acotan las participaciones en el CCI a un periodo de 3 años correspondiente al periodo </w:t>
      </w:r>
      <w:r w:rsidR="00994869" w:rsidRPr="001B1BC9">
        <w:rPr>
          <w:rFonts w:ascii="Geomanist" w:hAnsi="Geomanist"/>
          <w:color w:val="auto"/>
          <w:sz w:val="23"/>
          <w:szCs w:val="23"/>
        </w:rPr>
        <w:t xml:space="preserve">de gestión de </w:t>
      </w:r>
      <w:r w:rsidR="00AF6B00" w:rsidRPr="001B1BC9">
        <w:rPr>
          <w:rFonts w:ascii="Geomanist" w:hAnsi="Geomanist"/>
          <w:color w:val="auto"/>
          <w:sz w:val="23"/>
          <w:szCs w:val="23"/>
        </w:rPr>
        <w:t>la Dirección General (</w:t>
      </w:r>
      <w:r w:rsidRPr="001B1BC9">
        <w:rPr>
          <w:rFonts w:ascii="Geomanist" w:hAnsi="Geomanist"/>
          <w:color w:val="auto"/>
          <w:sz w:val="23"/>
          <w:szCs w:val="23"/>
        </w:rPr>
        <w:t>DG</w:t>
      </w:r>
      <w:r w:rsidR="00AF6B00" w:rsidRPr="001B1BC9">
        <w:rPr>
          <w:rFonts w:ascii="Geomanist" w:hAnsi="Geomanist"/>
          <w:color w:val="auto"/>
          <w:sz w:val="23"/>
          <w:szCs w:val="23"/>
        </w:rPr>
        <w:t>)</w:t>
      </w:r>
      <w:r w:rsidRPr="001B1BC9">
        <w:rPr>
          <w:rFonts w:ascii="Geomanist" w:hAnsi="Geomanist"/>
          <w:color w:val="auto"/>
          <w:sz w:val="23"/>
          <w:szCs w:val="23"/>
        </w:rPr>
        <w:t xml:space="preserve">. </w:t>
      </w:r>
    </w:p>
    <w:p w14:paraId="234C5AEF" w14:textId="464FFCA5" w:rsidR="00B57AC4" w:rsidRPr="001B1BC9" w:rsidRDefault="00B57AC4" w:rsidP="00320E8F">
      <w:pPr>
        <w:pStyle w:val="Default"/>
        <w:numPr>
          <w:ilvl w:val="0"/>
          <w:numId w:val="2"/>
        </w:numPr>
        <w:ind w:left="567" w:hanging="284"/>
        <w:jc w:val="both"/>
        <w:rPr>
          <w:rFonts w:ascii="Geomanist" w:hAnsi="Geomanist"/>
          <w:color w:val="auto"/>
          <w:sz w:val="23"/>
          <w:szCs w:val="23"/>
        </w:rPr>
      </w:pPr>
      <w:r w:rsidRPr="001B1BC9">
        <w:rPr>
          <w:rFonts w:ascii="Geomanist" w:hAnsi="Geomanist"/>
          <w:color w:val="auto"/>
          <w:sz w:val="23"/>
          <w:szCs w:val="23"/>
        </w:rPr>
        <w:t xml:space="preserve">La Dirección General convocará a </w:t>
      </w:r>
      <w:r w:rsidR="00240BCE" w:rsidRPr="001B1BC9">
        <w:rPr>
          <w:rFonts w:ascii="Geomanist" w:hAnsi="Geomanist"/>
          <w:color w:val="auto"/>
          <w:sz w:val="23"/>
          <w:szCs w:val="23"/>
        </w:rPr>
        <w:t>las colectivas (</w:t>
      </w:r>
      <w:r w:rsidR="00F10BB4" w:rsidRPr="001B1BC9">
        <w:rPr>
          <w:rFonts w:ascii="Geomanist" w:hAnsi="Geomanist"/>
          <w:color w:val="auto"/>
          <w:sz w:val="23"/>
          <w:szCs w:val="23"/>
        </w:rPr>
        <w:t>personal de investigación, personal técnico…) a</w:t>
      </w:r>
      <w:r w:rsidRPr="001B1BC9">
        <w:rPr>
          <w:rFonts w:ascii="Geomanist" w:hAnsi="Geomanist"/>
          <w:color w:val="auto"/>
          <w:sz w:val="23"/>
          <w:szCs w:val="23"/>
        </w:rPr>
        <w:t xml:space="preserve"> nombrar a su(s) representante (s) en el CCI y cada área presentará su procedimiento de nombramiento. </w:t>
      </w:r>
    </w:p>
    <w:p w14:paraId="5542E20B" w14:textId="77777777" w:rsidR="008F4C9A" w:rsidRPr="001B1BC9" w:rsidRDefault="008F4C9A" w:rsidP="008F4C9A">
      <w:pPr>
        <w:spacing w:after="0" w:line="276" w:lineRule="auto"/>
        <w:jc w:val="both"/>
        <w:rPr>
          <w:rFonts w:ascii="Geomanist" w:hAnsi="Geomanist"/>
        </w:rPr>
      </w:pPr>
    </w:p>
    <w:p w14:paraId="1EBCD83E" w14:textId="16C910CD" w:rsidR="00956D68" w:rsidRPr="001B1BC9" w:rsidRDefault="008F4C9A" w:rsidP="00EB5D2E">
      <w:pPr>
        <w:spacing w:after="0" w:line="276" w:lineRule="auto"/>
        <w:jc w:val="both"/>
        <w:rPr>
          <w:rFonts w:ascii="Geomanist" w:hAnsi="Geomanist"/>
        </w:rPr>
      </w:pPr>
      <w:r w:rsidRPr="008F4C9A">
        <w:rPr>
          <w:rFonts w:ascii="Geomanist" w:hAnsi="Geomanist"/>
        </w:rPr>
        <w:t>En seguimiento a este acuerdo,</w:t>
      </w:r>
      <w:r w:rsidR="00A629A8" w:rsidRPr="001B1BC9">
        <w:rPr>
          <w:rFonts w:ascii="Geomanist" w:hAnsi="Geomanist"/>
        </w:rPr>
        <w:t xml:space="preserve"> </w:t>
      </w:r>
      <w:r w:rsidR="00A74676" w:rsidRPr="001B1BC9">
        <w:rPr>
          <w:rFonts w:ascii="Geomanist" w:hAnsi="Geomanist"/>
        </w:rPr>
        <w:t>el 28 de febrero</w:t>
      </w:r>
      <w:r>
        <w:rPr>
          <w:rFonts w:ascii="Geomanist" w:hAnsi="Geomanist"/>
        </w:rPr>
        <w:t>,</w:t>
      </w:r>
      <w:r w:rsidR="00A74676" w:rsidRPr="001B1BC9">
        <w:rPr>
          <w:rFonts w:ascii="Geomanist" w:hAnsi="Geomanist"/>
        </w:rPr>
        <w:t xml:space="preserve"> </w:t>
      </w:r>
      <w:r w:rsidR="00A629A8" w:rsidRPr="001B1BC9">
        <w:rPr>
          <w:rFonts w:ascii="Geomanist" w:hAnsi="Geomanist"/>
        </w:rPr>
        <w:t>la Dirección General convocó</w:t>
      </w:r>
      <w:r w:rsidR="00A74676" w:rsidRPr="001B1BC9">
        <w:rPr>
          <w:rFonts w:ascii="Geomanist" w:hAnsi="Geomanist"/>
        </w:rPr>
        <w:t xml:space="preserve"> a</w:t>
      </w:r>
      <w:r w:rsidR="001C0240" w:rsidRPr="001B1BC9">
        <w:rPr>
          <w:rFonts w:ascii="Geomanist" w:hAnsi="Geomanist"/>
        </w:rPr>
        <w:t xml:space="preserve">l personal académico </w:t>
      </w:r>
      <w:r w:rsidR="00C27908" w:rsidRPr="001B1BC9">
        <w:rPr>
          <w:rFonts w:ascii="Geomanist" w:hAnsi="Geomanist"/>
        </w:rPr>
        <w:t xml:space="preserve">a </w:t>
      </w:r>
      <w:r w:rsidR="004027BB" w:rsidRPr="001B1BC9">
        <w:rPr>
          <w:rFonts w:ascii="Geomanist" w:hAnsi="Geomanist"/>
        </w:rPr>
        <w:t xml:space="preserve">una sesión </w:t>
      </w:r>
      <w:r>
        <w:rPr>
          <w:rFonts w:ascii="Geomanist" w:hAnsi="Geomanist"/>
        </w:rPr>
        <w:t>informativa</w:t>
      </w:r>
      <w:r w:rsidR="004027BB" w:rsidRPr="001B1BC9">
        <w:rPr>
          <w:rFonts w:ascii="Geomanist" w:hAnsi="Geomanist"/>
        </w:rPr>
        <w:t xml:space="preserve"> </w:t>
      </w:r>
      <w:r>
        <w:rPr>
          <w:rFonts w:ascii="Geomanist" w:hAnsi="Geomanist"/>
        </w:rPr>
        <w:t>para</w:t>
      </w:r>
      <w:r w:rsidR="004027BB" w:rsidRPr="001B1BC9">
        <w:rPr>
          <w:rFonts w:ascii="Geomanist" w:hAnsi="Geomanist"/>
        </w:rPr>
        <w:t xml:space="preserve"> la conformación de </w:t>
      </w:r>
      <w:r w:rsidR="001144F8" w:rsidRPr="001B1BC9">
        <w:rPr>
          <w:rFonts w:ascii="Geomanist" w:hAnsi="Geomanist"/>
        </w:rPr>
        <w:t>la</w:t>
      </w:r>
      <w:r w:rsidR="00C27908" w:rsidRPr="001B1BC9">
        <w:rPr>
          <w:rFonts w:ascii="Geomanist" w:hAnsi="Geomanist"/>
        </w:rPr>
        <w:t xml:space="preserve"> Asamblea y</w:t>
      </w:r>
      <w:r w:rsidR="001065F0" w:rsidRPr="001B1BC9">
        <w:rPr>
          <w:rFonts w:ascii="Geomanist" w:hAnsi="Geomanist"/>
        </w:rPr>
        <w:t xml:space="preserve"> </w:t>
      </w:r>
      <w:r w:rsidR="004027BB" w:rsidRPr="001B1BC9">
        <w:rPr>
          <w:rFonts w:ascii="Geomanist" w:hAnsi="Geomanist"/>
        </w:rPr>
        <w:t xml:space="preserve">aportar elementos para la construcción del </w:t>
      </w:r>
      <w:r w:rsidR="001065F0" w:rsidRPr="001B1BC9">
        <w:rPr>
          <w:rFonts w:ascii="Geomanist" w:hAnsi="Geomanist"/>
        </w:rPr>
        <w:t>Consejo Consultivo Interno</w:t>
      </w:r>
      <w:r w:rsidR="004027BB" w:rsidRPr="001B1BC9">
        <w:rPr>
          <w:rFonts w:ascii="Geomanist" w:hAnsi="Geomanist"/>
        </w:rPr>
        <w:t xml:space="preserve"> (CCI)</w:t>
      </w:r>
      <w:r w:rsidR="001065F0" w:rsidRPr="001B1BC9">
        <w:rPr>
          <w:rFonts w:ascii="Geomanist" w:hAnsi="Geomanist"/>
        </w:rPr>
        <w:t xml:space="preserve">, </w:t>
      </w:r>
      <w:r>
        <w:rPr>
          <w:rFonts w:ascii="Geomanist" w:hAnsi="Geomanist"/>
        </w:rPr>
        <w:t>conforme al</w:t>
      </w:r>
      <w:r w:rsidR="00F12E32" w:rsidRPr="001B1BC9">
        <w:rPr>
          <w:rFonts w:ascii="Geomanist" w:hAnsi="Geomanist"/>
        </w:rPr>
        <w:t xml:space="preserve"> artículo 92 de la LGHCTI</w:t>
      </w:r>
      <w:r w:rsidR="00951C9B" w:rsidRPr="001B1BC9">
        <w:rPr>
          <w:rFonts w:ascii="Geomanist" w:hAnsi="Geomanist"/>
        </w:rPr>
        <w:t>.</w:t>
      </w:r>
    </w:p>
    <w:p w14:paraId="3C9A08B7" w14:textId="77777777" w:rsidR="008F4C9A" w:rsidRPr="001B1BC9" w:rsidRDefault="008F4C9A" w:rsidP="00EB5D2E">
      <w:pPr>
        <w:spacing w:after="0" w:line="276" w:lineRule="auto"/>
        <w:jc w:val="both"/>
        <w:rPr>
          <w:rFonts w:ascii="Geomanist" w:hAnsi="Geomanist"/>
        </w:rPr>
      </w:pPr>
    </w:p>
    <w:p w14:paraId="6DD28F1C" w14:textId="77777777" w:rsidR="005240CB" w:rsidRDefault="00E9317D" w:rsidP="00B148BC">
      <w:pPr>
        <w:spacing w:after="0" w:line="276" w:lineRule="auto"/>
        <w:jc w:val="both"/>
        <w:rPr>
          <w:rFonts w:ascii="Geomanist" w:hAnsi="Geomanist"/>
        </w:rPr>
      </w:pPr>
      <w:r w:rsidRPr="001B1BC9">
        <w:rPr>
          <w:rFonts w:ascii="Geomanist" w:hAnsi="Geomanist"/>
        </w:rPr>
        <w:t>Además de</w:t>
      </w:r>
      <w:r w:rsidR="00F406D9" w:rsidRPr="001B1BC9">
        <w:rPr>
          <w:rFonts w:ascii="Geomanist" w:hAnsi="Geomanist"/>
        </w:rPr>
        <w:t xml:space="preserve"> </w:t>
      </w:r>
      <w:r w:rsidRPr="001B1BC9">
        <w:rPr>
          <w:rFonts w:ascii="Geomanist" w:hAnsi="Geomanist"/>
        </w:rPr>
        <w:t xml:space="preserve">plantear los objetivos de estos </w:t>
      </w:r>
      <w:r w:rsidR="008F4C9A">
        <w:rPr>
          <w:rFonts w:ascii="Geomanist" w:hAnsi="Geomanist"/>
        </w:rPr>
        <w:t>ó</w:t>
      </w:r>
      <w:r w:rsidRPr="001B1BC9">
        <w:rPr>
          <w:rFonts w:ascii="Geomanist" w:hAnsi="Geomanist"/>
        </w:rPr>
        <w:t xml:space="preserve">rganos, </w:t>
      </w:r>
      <w:r w:rsidR="008F4C9A">
        <w:rPr>
          <w:rFonts w:ascii="Geomanist" w:hAnsi="Geomanist"/>
        </w:rPr>
        <w:t xml:space="preserve">se </w:t>
      </w:r>
      <w:r w:rsidRPr="001B1BC9">
        <w:rPr>
          <w:rFonts w:ascii="Geomanist" w:hAnsi="Geomanist"/>
        </w:rPr>
        <w:t xml:space="preserve">recordó a la comunidad la consulta realizada en 2023 </w:t>
      </w:r>
      <w:r w:rsidR="00F406D9" w:rsidRPr="001B1BC9">
        <w:rPr>
          <w:rFonts w:ascii="Geomanist" w:hAnsi="Geomanist"/>
        </w:rPr>
        <w:t>como un primer paso de participación democrática</w:t>
      </w:r>
      <w:r w:rsidR="00711954" w:rsidRPr="001B1BC9">
        <w:rPr>
          <w:rFonts w:ascii="Geomanist" w:hAnsi="Geomanist"/>
        </w:rPr>
        <w:t xml:space="preserve"> y describi</w:t>
      </w:r>
      <w:r w:rsidR="008F4C9A">
        <w:rPr>
          <w:rFonts w:ascii="Geomanist" w:hAnsi="Geomanist"/>
        </w:rPr>
        <w:t>eron</w:t>
      </w:r>
      <w:r w:rsidR="00711954" w:rsidRPr="001B1BC9">
        <w:rPr>
          <w:rFonts w:ascii="Geomanist" w:hAnsi="Geomanist"/>
        </w:rPr>
        <w:t xml:space="preserve"> </w:t>
      </w:r>
      <w:r w:rsidR="005240CB">
        <w:rPr>
          <w:rFonts w:ascii="Geomanist" w:hAnsi="Geomanist"/>
        </w:rPr>
        <w:t xml:space="preserve">la conceptualización de la Asamblea y </w:t>
      </w:r>
      <w:r w:rsidR="00711954" w:rsidRPr="001B1BC9">
        <w:rPr>
          <w:rFonts w:ascii="Geomanist" w:hAnsi="Geomanist"/>
        </w:rPr>
        <w:t xml:space="preserve">las características </w:t>
      </w:r>
      <w:r w:rsidR="00934A1A">
        <w:rPr>
          <w:rFonts w:ascii="Geomanist" w:hAnsi="Geomanist"/>
        </w:rPr>
        <w:t xml:space="preserve">esenciales </w:t>
      </w:r>
      <w:r w:rsidR="005240CB">
        <w:rPr>
          <w:rFonts w:ascii="Geomanist" w:hAnsi="Geomanist"/>
        </w:rPr>
        <w:t>que debe apremiar.</w:t>
      </w:r>
    </w:p>
    <w:p w14:paraId="5BEEA573" w14:textId="478253B8" w:rsidR="005240CB" w:rsidRDefault="001B1DF3" w:rsidP="00B148BC">
      <w:pPr>
        <w:spacing w:after="0" w:line="276" w:lineRule="auto"/>
        <w:jc w:val="both"/>
        <w:rPr>
          <w:rFonts w:ascii="Geomanist" w:hAnsi="Geomanist"/>
        </w:rPr>
      </w:pPr>
      <w:r w:rsidRPr="001B1BC9">
        <w:rPr>
          <w:rFonts w:ascii="Geomanist" w:hAnsi="Geomanist"/>
        </w:rPr>
        <w:t xml:space="preserve"> </w:t>
      </w:r>
    </w:p>
    <w:p w14:paraId="725E9065" w14:textId="0699A56C" w:rsidR="005240CB" w:rsidRDefault="005240CB" w:rsidP="00B148BC">
      <w:pPr>
        <w:spacing w:after="0" w:line="276" w:lineRule="auto"/>
        <w:jc w:val="both"/>
        <w:rPr>
          <w:rFonts w:ascii="Geomanist" w:hAnsi="Geomanist"/>
        </w:rPr>
      </w:pPr>
      <w:r w:rsidRPr="005240CB">
        <w:rPr>
          <w:rFonts w:ascii="Geomanist" w:hAnsi="Geomanist"/>
        </w:rPr>
        <w:t xml:space="preserve">De acuerdo con Art. 98 de la LGHCTI, la Asamblea del Personal será un </w:t>
      </w:r>
      <w:r w:rsidRPr="005240CB">
        <w:rPr>
          <w:rFonts w:ascii="Geomanist" w:hAnsi="Geomanist"/>
          <w:b/>
          <w:bCs/>
        </w:rPr>
        <w:t>órgano de naturaleza consultiva</w:t>
      </w:r>
      <w:r w:rsidRPr="005240CB">
        <w:rPr>
          <w:rFonts w:ascii="Geomanist" w:hAnsi="Geomanist"/>
        </w:rPr>
        <w:t xml:space="preserve"> y se integrará por todas las personas adscritas a</w:t>
      </w:r>
      <w:r>
        <w:rPr>
          <w:rFonts w:ascii="Geomanist" w:hAnsi="Geomanist"/>
        </w:rPr>
        <w:t xml:space="preserve"> E</w:t>
      </w:r>
      <w:r w:rsidRPr="005240CB">
        <w:rPr>
          <w:rFonts w:ascii="Geomanist" w:hAnsi="Geomanist"/>
        </w:rPr>
        <w:t>l C</w:t>
      </w:r>
      <w:r>
        <w:rPr>
          <w:rFonts w:ascii="Geomanist" w:hAnsi="Geomanist"/>
        </w:rPr>
        <w:t>olegio de la Frontera Sur</w:t>
      </w:r>
      <w:r w:rsidRPr="005240CB">
        <w:rPr>
          <w:rFonts w:ascii="Geomanist" w:hAnsi="Geomanist"/>
        </w:rPr>
        <w:t xml:space="preserve"> y realicen directamente investigación humanística o científica, desarrollo tecnológico o innovación.</w:t>
      </w:r>
      <w:r>
        <w:rPr>
          <w:rFonts w:ascii="Geomanist" w:hAnsi="Geomanist"/>
        </w:rPr>
        <w:t xml:space="preserve"> </w:t>
      </w:r>
      <w:r w:rsidRPr="005240CB">
        <w:rPr>
          <w:rFonts w:ascii="Geomanist" w:hAnsi="Geomanist"/>
        </w:rPr>
        <w:t xml:space="preserve">La Asamblea del Personal está diseñada como un mecanismo de participación </w:t>
      </w:r>
      <w:r w:rsidRPr="005240CB">
        <w:rPr>
          <w:rFonts w:ascii="Geomanist" w:hAnsi="Geomanist"/>
        </w:rPr>
        <w:lastRenderedPageBreak/>
        <w:t xml:space="preserve">democrática e informada que permite a la comunidad académica de </w:t>
      </w:r>
      <w:r>
        <w:rPr>
          <w:rFonts w:ascii="Geomanist" w:hAnsi="Geomanist"/>
        </w:rPr>
        <w:t>ECOSUR</w:t>
      </w:r>
      <w:r w:rsidRPr="005240CB">
        <w:rPr>
          <w:rFonts w:ascii="Geomanist" w:hAnsi="Geomanist"/>
        </w:rPr>
        <w:t xml:space="preserve"> conocer y opinar sobre los planes, programas y demás asuntos de interés común que se someten a su consulta, así como intervenir en la integración de órganos de consulta y evaluación relevantes para la vida interna de estas entidades públicas.</w:t>
      </w:r>
    </w:p>
    <w:p w14:paraId="0F45162C" w14:textId="77777777" w:rsidR="005240CB" w:rsidRDefault="005240CB" w:rsidP="00B148BC">
      <w:pPr>
        <w:spacing w:after="0" w:line="276" w:lineRule="auto"/>
        <w:jc w:val="both"/>
        <w:rPr>
          <w:rFonts w:ascii="Geomanist" w:hAnsi="Geomanist"/>
        </w:rPr>
      </w:pPr>
    </w:p>
    <w:p w14:paraId="660485B2" w14:textId="68D00462" w:rsidR="005240CB" w:rsidRDefault="005240CB" w:rsidP="00B148BC">
      <w:pPr>
        <w:spacing w:after="0" w:line="276" w:lineRule="auto"/>
        <w:jc w:val="both"/>
        <w:rPr>
          <w:rFonts w:ascii="Geomanist" w:hAnsi="Geomanist"/>
        </w:rPr>
      </w:pPr>
      <w:r>
        <w:rPr>
          <w:rFonts w:ascii="Geomanist" w:hAnsi="Geomanist"/>
        </w:rPr>
        <w:t>Este espacio de participación promoverá:</w:t>
      </w:r>
    </w:p>
    <w:p w14:paraId="6C4320E5" w14:textId="77777777" w:rsidR="005240CB" w:rsidRDefault="005240CB" w:rsidP="00B148BC">
      <w:pPr>
        <w:spacing w:after="0" w:line="276" w:lineRule="auto"/>
        <w:jc w:val="both"/>
        <w:rPr>
          <w:rFonts w:ascii="Geomanist" w:hAnsi="Geomanist"/>
        </w:rPr>
      </w:pPr>
    </w:p>
    <w:p w14:paraId="49079D55" w14:textId="1189AE6A" w:rsidR="00934A1A" w:rsidRPr="008F4C9A" w:rsidRDefault="005240CB" w:rsidP="00934A1A">
      <w:pPr>
        <w:numPr>
          <w:ilvl w:val="0"/>
          <w:numId w:val="7"/>
        </w:numPr>
        <w:spacing w:after="0" w:line="276" w:lineRule="auto"/>
        <w:jc w:val="both"/>
        <w:rPr>
          <w:rFonts w:ascii="Geomanist" w:eastAsia="Calibri" w:hAnsi="Geomanist" w:cs="Times New Roman"/>
        </w:rPr>
      </w:pPr>
      <w:r>
        <w:rPr>
          <w:rFonts w:ascii="Geomanist" w:eastAsia="Calibri" w:hAnsi="Geomanist" w:cs="Times New Roman"/>
        </w:rPr>
        <w:t>La r</w:t>
      </w:r>
      <w:r w:rsidR="00934A1A" w:rsidRPr="008F4C9A">
        <w:rPr>
          <w:rFonts w:ascii="Geomanist" w:eastAsia="Calibri" w:hAnsi="Geomanist" w:cs="Times New Roman"/>
        </w:rPr>
        <w:t>epresentatividad de los diferentes sectores que conforman la institución.</w:t>
      </w:r>
    </w:p>
    <w:p w14:paraId="7B344BC2" w14:textId="699D51DF" w:rsidR="00934A1A" w:rsidRPr="008F4C9A" w:rsidRDefault="00826EF2" w:rsidP="00934A1A">
      <w:pPr>
        <w:numPr>
          <w:ilvl w:val="0"/>
          <w:numId w:val="7"/>
        </w:numPr>
        <w:spacing w:after="0" w:line="276" w:lineRule="auto"/>
        <w:jc w:val="both"/>
        <w:rPr>
          <w:rFonts w:ascii="Geomanist" w:eastAsia="Calibri" w:hAnsi="Geomanist" w:cs="Times New Roman"/>
        </w:rPr>
      </w:pPr>
      <w:r>
        <w:rPr>
          <w:rFonts w:ascii="Geomanist" w:eastAsia="Calibri" w:hAnsi="Geomanist" w:cs="Times New Roman"/>
        </w:rPr>
        <w:t>La g</w:t>
      </w:r>
      <w:r w:rsidR="00934A1A" w:rsidRPr="008F4C9A">
        <w:rPr>
          <w:rFonts w:ascii="Geomanist" w:eastAsia="Calibri" w:hAnsi="Geomanist" w:cs="Times New Roman"/>
        </w:rPr>
        <w:t xml:space="preserve">eneración de espacios de </w:t>
      </w:r>
      <w:proofErr w:type="gramStart"/>
      <w:r w:rsidR="00934A1A" w:rsidRPr="008F4C9A">
        <w:rPr>
          <w:rFonts w:ascii="Geomanist" w:eastAsia="Calibri" w:hAnsi="Geomanist" w:cs="Times New Roman"/>
        </w:rPr>
        <w:t>participación activa</w:t>
      </w:r>
      <w:proofErr w:type="gramEnd"/>
      <w:r w:rsidR="00934A1A" w:rsidRPr="008F4C9A">
        <w:rPr>
          <w:rFonts w:ascii="Geomanist" w:eastAsia="Calibri" w:hAnsi="Geomanist" w:cs="Times New Roman"/>
        </w:rPr>
        <w:t xml:space="preserve"> y compromiso en construcción </w:t>
      </w:r>
      <w:r w:rsidR="005240CB">
        <w:rPr>
          <w:rFonts w:ascii="Geomanist" w:eastAsia="Calibri" w:hAnsi="Geomanist" w:cs="Times New Roman"/>
        </w:rPr>
        <w:t xml:space="preserve">y consulta </w:t>
      </w:r>
      <w:r w:rsidR="00934A1A" w:rsidRPr="008F4C9A">
        <w:rPr>
          <w:rFonts w:ascii="Geomanist" w:eastAsia="Calibri" w:hAnsi="Geomanist" w:cs="Times New Roman"/>
        </w:rPr>
        <w:t>de propuestas.</w:t>
      </w:r>
    </w:p>
    <w:p w14:paraId="204B568D" w14:textId="68966984" w:rsidR="00934A1A" w:rsidRPr="008F4C9A" w:rsidRDefault="00826EF2" w:rsidP="00934A1A">
      <w:pPr>
        <w:numPr>
          <w:ilvl w:val="0"/>
          <w:numId w:val="7"/>
        </w:numPr>
        <w:spacing w:after="0" w:line="276" w:lineRule="auto"/>
        <w:jc w:val="both"/>
        <w:rPr>
          <w:rFonts w:ascii="Geomanist" w:eastAsia="Calibri" w:hAnsi="Geomanist" w:cs="Times New Roman"/>
        </w:rPr>
      </w:pPr>
      <w:r>
        <w:rPr>
          <w:rFonts w:ascii="Geomanist" w:eastAsia="Calibri" w:hAnsi="Geomanist" w:cs="Times New Roman"/>
        </w:rPr>
        <w:t>La o</w:t>
      </w:r>
      <w:r w:rsidR="00934A1A" w:rsidRPr="008F4C9A">
        <w:rPr>
          <w:rFonts w:ascii="Geomanist" w:eastAsia="Calibri" w:hAnsi="Geomanist" w:cs="Times New Roman"/>
        </w:rPr>
        <w:t xml:space="preserve">peración transparente con procesos claros para la </w:t>
      </w:r>
      <w:r w:rsidR="005240CB" w:rsidRPr="008F4C9A">
        <w:rPr>
          <w:rFonts w:ascii="Geomanist" w:eastAsia="Calibri" w:hAnsi="Geomanist" w:cs="Times New Roman"/>
        </w:rPr>
        <w:t>participación</w:t>
      </w:r>
      <w:r w:rsidR="005240CB">
        <w:rPr>
          <w:rFonts w:ascii="Geomanist" w:eastAsia="Calibri" w:hAnsi="Geomanist" w:cs="Times New Roman"/>
        </w:rPr>
        <w:t xml:space="preserve"> en consultas</w:t>
      </w:r>
      <w:r w:rsidR="00934A1A" w:rsidRPr="008F4C9A">
        <w:rPr>
          <w:rFonts w:ascii="Geomanist" w:eastAsia="Calibri" w:hAnsi="Geomanist" w:cs="Times New Roman"/>
        </w:rPr>
        <w:t xml:space="preserve"> y asignación de funciones.</w:t>
      </w:r>
    </w:p>
    <w:p w14:paraId="0544297B" w14:textId="641D7939" w:rsidR="00934A1A" w:rsidRPr="008F4C9A" w:rsidRDefault="00826EF2" w:rsidP="00934A1A">
      <w:pPr>
        <w:numPr>
          <w:ilvl w:val="0"/>
          <w:numId w:val="7"/>
        </w:numPr>
        <w:spacing w:after="0" w:line="276" w:lineRule="auto"/>
        <w:jc w:val="both"/>
        <w:rPr>
          <w:rFonts w:ascii="Geomanist" w:eastAsia="Calibri" w:hAnsi="Geomanist" w:cs="Times New Roman"/>
        </w:rPr>
      </w:pPr>
      <w:r>
        <w:rPr>
          <w:rFonts w:ascii="Geomanist" w:eastAsia="Calibri" w:hAnsi="Geomanist" w:cs="Times New Roman"/>
        </w:rPr>
        <w:t>La r</w:t>
      </w:r>
      <w:r w:rsidR="00934A1A" w:rsidRPr="008F4C9A">
        <w:rPr>
          <w:rFonts w:ascii="Geomanist" w:eastAsia="Calibri" w:hAnsi="Geomanist" w:cs="Times New Roman"/>
        </w:rPr>
        <w:t>endición de cuentas a la comunidad académica y a las autoridades pertinentes.</w:t>
      </w:r>
    </w:p>
    <w:p w14:paraId="22F80763" w14:textId="1B9FF990" w:rsidR="00934A1A" w:rsidRPr="008F4C9A" w:rsidRDefault="00826EF2" w:rsidP="00934A1A">
      <w:pPr>
        <w:numPr>
          <w:ilvl w:val="0"/>
          <w:numId w:val="7"/>
        </w:numPr>
        <w:spacing w:after="0" w:line="276" w:lineRule="auto"/>
        <w:jc w:val="both"/>
        <w:rPr>
          <w:rFonts w:ascii="Geomanist" w:eastAsia="Calibri" w:hAnsi="Geomanist" w:cs="Times New Roman"/>
        </w:rPr>
      </w:pPr>
      <w:r>
        <w:rPr>
          <w:rFonts w:ascii="Geomanist" w:eastAsia="Calibri" w:hAnsi="Geomanist" w:cs="Times New Roman"/>
        </w:rPr>
        <w:t xml:space="preserve">La </w:t>
      </w:r>
      <w:r w:rsidR="009D3A62">
        <w:rPr>
          <w:rFonts w:ascii="Geomanist" w:eastAsia="Calibri" w:hAnsi="Geomanist" w:cs="Times New Roman"/>
        </w:rPr>
        <w:t>p</w:t>
      </w:r>
      <w:r w:rsidR="00934A1A" w:rsidRPr="008F4C9A">
        <w:rPr>
          <w:rFonts w:ascii="Geomanist" w:eastAsia="Calibri" w:hAnsi="Geomanist" w:cs="Times New Roman"/>
        </w:rPr>
        <w:t>romoción de la interdisciplinariedad.</w:t>
      </w:r>
    </w:p>
    <w:p w14:paraId="56ACCC25" w14:textId="77777777" w:rsidR="00934A1A" w:rsidRDefault="00934A1A" w:rsidP="005240CB">
      <w:pPr>
        <w:pStyle w:val="Prrafodelista"/>
        <w:spacing w:after="0" w:line="276" w:lineRule="auto"/>
        <w:jc w:val="both"/>
        <w:rPr>
          <w:rFonts w:ascii="Geomanist" w:eastAsia="Calibri" w:hAnsi="Geomanist" w:cs="Times New Roman"/>
        </w:rPr>
      </w:pPr>
    </w:p>
    <w:p w14:paraId="1F682C81" w14:textId="6E7D69C4" w:rsidR="00436E4D" w:rsidRPr="001B1BC9" w:rsidRDefault="00461C33" w:rsidP="00EB5D2E">
      <w:pPr>
        <w:spacing w:after="0" w:line="276" w:lineRule="auto"/>
        <w:jc w:val="both"/>
        <w:rPr>
          <w:rFonts w:ascii="Geomanist" w:eastAsia="Calibri" w:hAnsi="Geomanist" w:cs="Times New Roman"/>
        </w:rPr>
      </w:pPr>
      <w:r w:rsidRPr="001B1BC9">
        <w:rPr>
          <w:rFonts w:ascii="Geomanist" w:eastAsia="Calibri" w:hAnsi="Geomanist" w:cs="Times New Roman"/>
        </w:rPr>
        <w:t xml:space="preserve">En cuanto al </w:t>
      </w:r>
      <w:r w:rsidRPr="001B1BC9">
        <w:rPr>
          <w:rFonts w:ascii="Geomanist" w:eastAsia="Calibri" w:hAnsi="Geomanist" w:cs="Times New Roman"/>
          <w:b/>
          <w:bCs/>
        </w:rPr>
        <w:t>Consejo Consultivo Interno</w:t>
      </w:r>
      <w:r w:rsidRPr="001B1BC9">
        <w:rPr>
          <w:rFonts w:ascii="Geomanist" w:eastAsia="Calibri" w:hAnsi="Geomanist" w:cs="Times New Roman"/>
        </w:rPr>
        <w:t xml:space="preserve">, </w:t>
      </w:r>
      <w:r w:rsidR="00436E4D" w:rsidRPr="001B1BC9">
        <w:rPr>
          <w:rFonts w:ascii="Geomanist" w:eastAsia="Calibri" w:hAnsi="Geomanist" w:cs="Times New Roman"/>
        </w:rPr>
        <w:t>su objeto es</w:t>
      </w:r>
      <w:r w:rsidR="000D3093" w:rsidRPr="001B1BC9">
        <w:rPr>
          <w:rFonts w:ascii="Geomanist" w:eastAsia="Calibri" w:hAnsi="Geomanist" w:cs="Times New Roman"/>
        </w:rPr>
        <w:t>:</w:t>
      </w:r>
    </w:p>
    <w:p w14:paraId="5B5D15B5" w14:textId="6335D510" w:rsidR="00B11281" w:rsidRPr="001B1BC9" w:rsidRDefault="00B11281" w:rsidP="00B1128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eomanist" w:eastAsia="Calibri" w:hAnsi="Geomanist" w:cs="Times New Roman"/>
        </w:rPr>
      </w:pPr>
      <w:r w:rsidRPr="001B1BC9">
        <w:rPr>
          <w:rFonts w:ascii="Geomanist" w:eastAsia="Calibri" w:hAnsi="Geomanist" w:cs="Times New Roman"/>
        </w:rPr>
        <w:t>Opinar sobre los asuntos académicos, institucionales y laborales que</w:t>
      </w:r>
      <w:r w:rsidR="009D3A62">
        <w:rPr>
          <w:rFonts w:ascii="Geomanist" w:eastAsia="Calibri" w:hAnsi="Geomanist" w:cs="Times New Roman"/>
        </w:rPr>
        <w:t xml:space="preserve"> </w:t>
      </w:r>
      <w:r w:rsidRPr="001B1BC9">
        <w:rPr>
          <w:rFonts w:ascii="Geomanist" w:eastAsia="Calibri" w:hAnsi="Geomanist" w:cs="Times New Roman"/>
        </w:rPr>
        <w:t xml:space="preserve">consulte la persona titular de la Dirección General. </w:t>
      </w:r>
    </w:p>
    <w:p w14:paraId="1D16AF80" w14:textId="77777777" w:rsidR="00B11281" w:rsidRPr="001B1BC9" w:rsidRDefault="00B11281" w:rsidP="00B11281">
      <w:pPr>
        <w:spacing w:after="0" w:line="276" w:lineRule="auto"/>
        <w:jc w:val="both"/>
        <w:rPr>
          <w:rFonts w:ascii="Geomanist" w:eastAsia="Calibri" w:hAnsi="Geomanist" w:cs="Times New Roman"/>
        </w:rPr>
      </w:pPr>
    </w:p>
    <w:p w14:paraId="27E9C370" w14:textId="2C830DF1" w:rsidR="00B11281" w:rsidRPr="001B1BC9" w:rsidRDefault="00B11281" w:rsidP="00B1128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eomanist" w:eastAsia="Calibri" w:hAnsi="Geomanist" w:cs="Times New Roman"/>
        </w:rPr>
      </w:pPr>
      <w:r w:rsidRPr="001B1BC9">
        <w:rPr>
          <w:rFonts w:ascii="Geomanist" w:eastAsia="Calibri" w:hAnsi="Geomanist" w:cs="Times New Roman"/>
        </w:rPr>
        <w:t>Poder opinar sobre los proyectos de</w:t>
      </w:r>
      <w:r w:rsidR="00724BFF">
        <w:rPr>
          <w:rFonts w:ascii="Geomanist" w:eastAsia="Calibri" w:hAnsi="Geomanist" w:cs="Times New Roman"/>
        </w:rPr>
        <w:t>:</w:t>
      </w:r>
      <w:r w:rsidRPr="001B1BC9">
        <w:rPr>
          <w:rFonts w:ascii="Geomanist" w:eastAsia="Calibri" w:hAnsi="Geomanist" w:cs="Times New Roman"/>
        </w:rPr>
        <w:t xml:space="preserve"> Estatutos de Personal y los de Lineamientos de Estímulos, así como sobre sus reformas, </w:t>
      </w:r>
      <w:r w:rsidR="00724BFF">
        <w:rPr>
          <w:rFonts w:ascii="Geomanist" w:eastAsia="Calibri" w:hAnsi="Geomanist" w:cs="Times New Roman"/>
        </w:rPr>
        <w:t xml:space="preserve">antes de </w:t>
      </w:r>
      <w:r w:rsidRPr="001B1BC9">
        <w:rPr>
          <w:rFonts w:ascii="Geomanist" w:eastAsia="Calibri" w:hAnsi="Geomanist" w:cs="Times New Roman"/>
        </w:rPr>
        <w:t>su presentación ante la Asamblea del Personal de Investigación Humanística y Científica, Desarrollo Tecnológico e Innovación, el Órgano de Gobierno y de conformidad con la normativa aplicable.</w:t>
      </w:r>
    </w:p>
    <w:p w14:paraId="697637A5" w14:textId="77777777" w:rsidR="000D3093" w:rsidRPr="001B1BC9" w:rsidRDefault="000D3093" w:rsidP="00EB5D2E">
      <w:pPr>
        <w:spacing w:after="0" w:line="276" w:lineRule="auto"/>
        <w:jc w:val="both"/>
        <w:rPr>
          <w:rFonts w:ascii="Geomanist" w:eastAsia="Calibri" w:hAnsi="Geomanist" w:cs="Times New Roman"/>
        </w:rPr>
      </w:pPr>
    </w:p>
    <w:p w14:paraId="1E260326" w14:textId="31F689C1" w:rsidR="0009730F" w:rsidRPr="001B1BC9" w:rsidRDefault="000105F1" w:rsidP="00EB5D2E">
      <w:pPr>
        <w:spacing w:after="0" w:line="276" w:lineRule="auto"/>
        <w:jc w:val="both"/>
        <w:rPr>
          <w:rFonts w:ascii="Geomanist" w:eastAsia="Calibri" w:hAnsi="Geomanist" w:cs="Times New Roman"/>
        </w:rPr>
      </w:pPr>
      <w:r w:rsidRPr="001B1BC9">
        <w:rPr>
          <w:rFonts w:ascii="Geomanist" w:eastAsia="Calibri" w:hAnsi="Geomanist" w:cs="Times New Roman"/>
        </w:rPr>
        <w:t>E</w:t>
      </w:r>
      <w:r w:rsidR="00B11281" w:rsidRPr="001B1BC9">
        <w:rPr>
          <w:rFonts w:ascii="Geomanist" w:eastAsia="Calibri" w:hAnsi="Geomanist" w:cs="Times New Roman"/>
        </w:rPr>
        <w:t xml:space="preserve">n ECOSUR, </w:t>
      </w:r>
      <w:r w:rsidR="00061FE5" w:rsidRPr="001B1BC9">
        <w:rPr>
          <w:rFonts w:ascii="Geomanist" w:eastAsia="Calibri" w:hAnsi="Geomanist" w:cs="Times New Roman"/>
        </w:rPr>
        <w:t xml:space="preserve">este Órgano </w:t>
      </w:r>
      <w:r w:rsidR="00724BFF" w:rsidRPr="001B1BC9">
        <w:rPr>
          <w:rFonts w:ascii="Geomanist" w:eastAsia="Calibri" w:hAnsi="Geomanist" w:cs="Times New Roman"/>
        </w:rPr>
        <w:t xml:space="preserve">se diseñó </w:t>
      </w:r>
      <w:r w:rsidR="00061FE5" w:rsidRPr="001B1BC9">
        <w:rPr>
          <w:rFonts w:ascii="Geomanist" w:eastAsia="Calibri" w:hAnsi="Geomanist" w:cs="Times New Roman"/>
        </w:rPr>
        <w:t>con 14 miembros</w:t>
      </w:r>
      <w:r w:rsidR="000D3093" w:rsidRPr="001B1BC9">
        <w:rPr>
          <w:rFonts w:ascii="Geomanist" w:eastAsia="Calibri" w:hAnsi="Geomanist" w:cs="Times New Roman"/>
        </w:rPr>
        <w:t xml:space="preserve">, de acuerdo </w:t>
      </w:r>
      <w:r w:rsidR="00AF4724" w:rsidRPr="001B1BC9">
        <w:rPr>
          <w:rFonts w:ascii="Geomanist" w:eastAsia="Calibri" w:hAnsi="Geomanist" w:cs="Times New Roman"/>
        </w:rPr>
        <w:t>con</w:t>
      </w:r>
      <w:r w:rsidR="000D3093" w:rsidRPr="001B1BC9">
        <w:rPr>
          <w:rFonts w:ascii="Geomanist" w:eastAsia="Calibri" w:hAnsi="Geomanist" w:cs="Times New Roman"/>
        </w:rPr>
        <w:t xml:space="preserve"> la propuesta de Reglamento enviado a la Unidad de Articulación Sectorial y Regional del CONAHCYT</w:t>
      </w:r>
      <w:r w:rsidR="00AF4724" w:rsidRPr="001B1BC9">
        <w:rPr>
          <w:rFonts w:ascii="Geomanist" w:eastAsia="Calibri" w:hAnsi="Geomanist" w:cs="Times New Roman"/>
        </w:rPr>
        <w:t xml:space="preserve">. De estas 14 personas, la </w:t>
      </w:r>
      <w:r w:rsidR="00061FE5" w:rsidRPr="001B1BC9">
        <w:rPr>
          <w:rFonts w:ascii="Geomanist" w:eastAsia="Calibri" w:hAnsi="Geomanist" w:cs="Times New Roman"/>
        </w:rPr>
        <w:t xml:space="preserve">mitad </w:t>
      </w:r>
      <w:r w:rsidR="00AF4724" w:rsidRPr="001B1BC9">
        <w:rPr>
          <w:rFonts w:ascii="Geomanist" w:eastAsia="Calibri" w:hAnsi="Geomanist" w:cs="Times New Roman"/>
        </w:rPr>
        <w:t>son</w:t>
      </w:r>
      <w:r w:rsidR="00BA5D98" w:rsidRPr="001B1BC9">
        <w:rPr>
          <w:rFonts w:ascii="Geomanist" w:eastAsia="Calibri" w:hAnsi="Geomanist" w:cs="Times New Roman"/>
        </w:rPr>
        <w:t xml:space="preserve"> nombradas por la Dirección General</w:t>
      </w:r>
      <w:r w:rsidR="00724BFF">
        <w:rPr>
          <w:rFonts w:ascii="Geomanist" w:eastAsia="Calibri" w:hAnsi="Geomanist" w:cs="Times New Roman"/>
        </w:rPr>
        <w:t>, incluyendo representantes de</w:t>
      </w:r>
      <w:r w:rsidR="0009730F" w:rsidRPr="001B1BC9">
        <w:rPr>
          <w:rFonts w:ascii="Geomanist" w:eastAsia="Calibri" w:hAnsi="Geomanist" w:cs="Times New Roman"/>
        </w:rPr>
        <w:t xml:space="preserve"> </w:t>
      </w:r>
      <w:r w:rsidR="007749E6" w:rsidRPr="001B1BC9">
        <w:rPr>
          <w:rFonts w:ascii="Geomanist" w:eastAsia="Calibri" w:hAnsi="Geomanist" w:cs="Times New Roman"/>
        </w:rPr>
        <w:t xml:space="preserve">la Dirección de Administración, Coordinación General Académica, Coordinación General de Vinculación, Coordinación General de Posgrado, Coordinación General de Articulación y fortalecimiento Institucional, una persona representante de las coordinaciones de las cinco unidades, y una persona representante de las coordinaciones de departamento. </w:t>
      </w:r>
    </w:p>
    <w:p w14:paraId="2799A7E3" w14:textId="77777777" w:rsidR="0009730F" w:rsidRDefault="0009730F" w:rsidP="00EB5D2E">
      <w:pPr>
        <w:spacing w:after="0" w:line="276" w:lineRule="auto"/>
        <w:jc w:val="both"/>
        <w:rPr>
          <w:rFonts w:ascii="Geomanist" w:eastAsia="Calibri" w:hAnsi="Geomanist" w:cs="Times New Roman"/>
        </w:rPr>
      </w:pPr>
    </w:p>
    <w:p w14:paraId="36BD7C0A" w14:textId="19DB4928" w:rsidR="00E04070" w:rsidRPr="001B1BC9" w:rsidRDefault="007749E6" w:rsidP="00EB5D2E">
      <w:pPr>
        <w:spacing w:after="0" w:line="276" w:lineRule="auto"/>
        <w:jc w:val="both"/>
        <w:rPr>
          <w:rFonts w:ascii="Geomanist" w:eastAsia="Calibri" w:hAnsi="Geomanist" w:cs="Times New Roman"/>
        </w:rPr>
      </w:pPr>
      <w:r w:rsidRPr="001B1BC9">
        <w:rPr>
          <w:rFonts w:ascii="Geomanist" w:eastAsia="Calibri" w:hAnsi="Geomanist" w:cs="Times New Roman"/>
        </w:rPr>
        <w:t xml:space="preserve">La asamblea debe </w:t>
      </w:r>
      <w:r w:rsidR="001C0240" w:rsidRPr="001B1BC9">
        <w:rPr>
          <w:rFonts w:ascii="Geomanist" w:eastAsia="Calibri" w:hAnsi="Geomanist" w:cs="Times New Roman"/>
        </w:rPr>
        <w:t>nombrar a las siete personas</w:t>
      </w:r>
      <w:r w:rsidR="00724BFF">
        <w:rPr>
          <w:rFonts w:ascii="Geomanist" w:eastAsia="Calibri" w:hAnsi="Geomanist" w:cs="Times New Roman"/>
        </w:rPr>
        <w:t xml:space="preserve"> restantes</w:t>
      </w:r>
      <w:r w:rsidR="006137D0" w:rsidRPr="001B1BC9">
        <w:rPr>
          <w:rFonts w:ascii="Geomanist" w:eastAsia="Calibri" w:hAnsi="Geomanist" w:cs="Times New Roman"/>
        </w:rPr>
        <w:t xml:space="preserve">, </w:t>
      </w:r>
      <w:r w:rsidR="00724BFF">
        <w:rPr>
          <w:rFonts w:ascii="Geomanist" w:eastAsia="Calibri" w:hAnsi="Geomanist" w:cs="Times New Roman"/>
        </w:rPr>
        <w:t>asegurando la</w:t>
      </w:r>
      <w:r w:rsidR="006137D0" w:rsidRPr="001B1BC9">
        <w:rPr>
          <w:rFonts w:ascii="Geomanist" w:eastAsia="Calibri" w:hAnsi="Geomanist" w:cs="Times New Roman"/>
        </w:rPr>
        <w:t xml:space="preserve"> representatividad de </w:t>
      </w:r>
      <w:r w:rsidR="009C787E" w:rsidRPr="001B1BC9">
        <w:rPr>
          <w:rFonts w:ascii="Geomanist" w:eastAsia="Calibri" w:hAnsi="Geomanist" w:cs="Times New Roman"/>
        </w:rPr>
        <w:t>todos los Departamentos y Unidades</w:t>
      </w:r>
      <w:r w:rsidR="000D47EE" w:rsidRPr="001B1BC9">
        <w:rPr>
          <w:rFonts w:ascii="Geomanist" w:eastAsia="Calibri" w:hAnsi="Geomanist" w:cs="Times New Roman"/>
        </w:rPr>
        <w:t xml:space="preserve">, así como la </w:t>
      </w:r>
      <w:r w:rsidR="00F6265F" w:rsidRPr="001B1BC9">
        <w:rPr>
          <w:rFonts w:ascii="Geomanist" w:eastAsia="Calibri" w:hAnsi="Geomanist" w:cs="Times New Roman"/>
        </w:rPr>
        <w:t xml:space="preserve">paridad de género. La propuesta de Reglamento incluye, además de la </w:t>
      </w:r>
      <w:r w:rsidR="00F6265F" w:rsidRPr="001B1BC9">
        <w:rPr>
          <w:rFonts w:ascii="Geomanist" w:hAnsi="Geomanist"/>
        </w:rPr>
        <w:t>integración de 14 personas, sus atribuciones no delegables y su forma de organización</w:t>
      </w:r>
      <w:r w:rsidR="00724BFF">
        <w:rPr>
          <w:rFonts w:ascii="Geomanist" w:hAnsi="Geomanist"/>
        </w:rPr>
        <w:t xml:space="preserve"> y operatividad de las sesiones</w:t>
      </w:r>
      <w:r w:rsidR="00D15574" w:rsidRPr="001B1BC9">
        <w:rPr>
          <w:rFonts w:ascii="Geomanist" w:hAnsi="Geomanist"/>
        </w:rPr>
        <w:t>.</w:t>
      </w:r>
    </w:p>
    <w:p w14:paraId="0B3EBF6B" w14:textId="77777777" w:rsidR="00096CCA" w:rsidRDefault="00096CCA" w:rsidP="00EB5D2E">
      <w:pPr>
        <w:spacing w:after="0" w:line="276" w:lineRule="auto"/>
        <w:jc w:val="both"/>
        <w:rPr>
          <w:rFonts w:ascii="Geomanist" w:eastAsia="Calibri" w:hAnsi="Geomanist" w:cs="Times New Roman"/>
        </w:rPr>
      </w:pPr>
    </w:p>
    <w:p w14:paraId="640964DA" w14:textId="0508A547" w:rsidR="00096CCA" w:rsidRPr="001B1BC9" w:rsidRDefault="00D13018" w:rsidP="00EB5D2E">
      <w:pPr>
        <w:spacing w:after="0" w:line="276" w:lineRule="auto"/>
        <w:jc w:val="both"/>
        <w:rPr>
          <w:rFonts w:ascii="Geomanist" w:eastAsia="Calibri" w:hAnsi="Geomanist" w:cs="Times New Roman"/>
        </w:rPr>
      </w:pPr>
      <w:r w:rsidRPr="001B1BC9">
        <w:rPr>
          <w:rFonts w:ascii="Geomanist" w:eastAsia="Calibri" w:hAnsi="Geomanist" w:cs="Times New Roman"/>
        </w:rPr>
        <w:lastRenderedPageBreak/>
        <w:t>Al finalizar la discusión, s</w:t>
      </w:r>
      <w:r w:rsidR="00096CCA" w:rsidRPr="001B1BC9">
        <w:rPr>
          <w:rFonts w:ascii="Geomanist" w:eastAsia="Calibri" w:hAnsi="Geomanist" w:cs="Times New Roman"/>
        </w:rPr>
        <w:t>e tomaron los siguientes Acuerdos:</w:t>
      </w:r>
    </w:p>
    <w:p w14:paraId="06A330B9" w14:textId="056EB6F8" w:rsidR="008A40BD" w:rsidRPr="001B1BC9" w:rsidRDefault="008A40BD" w:rsidP="009D3A6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eomanist" w:eastAsia="Calibri" w:hAnsi="Geomanist" w:cs="Times New Roman"/>
        </w:rPr>
      </w:pPr>
      <w:r w:rsidRPr="001B1BC9">
        <w:rPr>
          <w:rFonts w:ascii="Geomanist" w:eastAsia="Calibri" w:hAnsi="Geomanist" w:cs="Times New Roman"/>
        </w:rPr>
        <w:t>El personal de la comunidad que participe será seleccionado por la misma comunidad a través de l</w:t>
      </w:r>
      <w:r w:rsidR="00724BFF">
        <w:rPr>
          <w:rFonts w:ascii="Geomanist" w:eastAsia="Calibri" w:hAnsi="Geomanist" w:cs="Times New Roman"/>
        </w:rPr>
        <w:t>o</w:t>
      </w:r>
      <w:r w:rsidRPr="001B1BC9">
        <w:rPr>
          <w:rFonts w:ascii="Geomanist" w:eastAsia="Calibri" w:hAnsi="Geomanist" w:cs="Times New Roman"/>
        </w:rPr>
        <w:t xml:space="preserve">s </w:t>
      </w:r>
      <w:r w:rsidR="00724BFF">
        <w:rPr>
          <w:rFonts w:ascii="Geomanist" w:eastAsia="Calibri" w:hAnsi="Geomanist" w:cs="Times New Roman"/>
        </w:rPr>
        <w:t>mecanismos</w:t>
      </w:r>
      <w:r w:rsidRPr="001B1BC9">
        <w:rPr>
          <w:rFonts w:ascii="Geomanist" w:eastAsia="Calibri" w:hAnsi="Geomanist" w:cs="Times New Roman"/>
        </w:rPr>
        <w:t xml:space="preserve"> que </w:t>
      </w:r>
      <w:r w:rsidR="00724BFF">
        <w:rPr>
          <w:rFonts w:ascii="Geomanist" w:eastAsia="Calibri" w:hAnsi="Geomanist" w:cs="Times New Roman"/>
        </w:rPr>
        <w:t>consideren</w:t>
      </w:r>
      <w:r w:rsidRPr="001B1BC9">
        <w:rPr>
          <w:rFonts w:ascii="Geomanist" w:eastAsia="Calibri" w:hAnsi="Geomanist" w:cs="Times New Roman"/>
        </w:rPr>
        <w:t xml:space="preserve"> convenientes para la instalación de la Asamblea.</w:t>
      </w:r>
    </w:p>
    <w:p w14:paraId="3D90E5F9" w14:textId="0493BB10" w:rsidR="008A40BD" w:rsidRDefault="008A40BD" w:rsidP="009D3A6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Geomanist" w:eastAsia="Calibri" w:hAnsi="Geomanist" w:cs="Times New Roman"/>
        </w:rPr>
      </w:pPr>
      <w:r w:rsidRPr="001B1BC9">
        <w:rPr>
          <w:rFonts w:ascii="Geomanist" w:eastAsia="Calibri" w:hAnsi="Geomanist" w:cs="Times New Roman"/>
        </w:rPr>
        <w:t xml:space="preserve">El grupo de estudios de Género </w:t>
      </w:r>
      <w:r w:rsidR="00724BFF">
        <w:rPr>
          <w:rFonts w:ascii="Geomanist" w:eastAsia="Calibri" w:hAnsi="Geomanist" w:cs="Times New Roman"/>
        </w:rPr>
        <w:t>elaborará</w:t>
      </w:r>
      <w:r w:rsidRPr="001B1BC9">
        <w:rPr>
          <w:rFonts w:ascii="Geomanist" w:eastAsia="Calibri" w:hAnsi="Geomanist" w:cs="Times New Roman"/>
        </w:rPr>
        <w:t xml:space="preserve"> una propuesta para </w:t>
      </w:r>
      <w:r w:rsidR="00724BFF">
        <w:rPr>
          <w:rFonts w:ascii="Geomanist" w:eastAsia="Calibri" w:hAnsi="Geomanist" w:cs="Times New Roman"/>
        </w:rPr>
        <w:t xml:space="preserve">garantizar </w:t>
      </w:r>
      <w:r w:rsidRPr="001B1BC9">
        <w:rPr>
          <w:rFonts w:ascii="Geomanist" w:eastAsia="Calibri" w:hAnsi="Geomanist" w:cs="Times New Roman"/>
        </w:rPr>
        <w:t>la paridad en la creación del Consejo Consultivo Interno</w:t>
      </w:r>
      <w:r w:rsidR="00AF6B00" w:rsidRPr="001B1BC9">
        <w:rPr>
          <w:rFonts w:ascii="Geomanist" w:eastAsia="Calibri" w:hAnsi="Geomanist" w:cs="Times New Roman"/>
        </w:rPr>
        <w:t>, la cual será revisa</w:t>
      </w:r>
      <w:r w:rsidR="00F20414" w:rsidRPr="001B1BC9">
        <w:rPr>
          <w:rFonts w:ascii="Geomanist" w:eastAsia="Calibri" w:hAnsi="Geomanist" w:cs="Times New Roman"/>
        </w:rPr>
        <w:t>da por la Unidad de Igualdad de Género e Inclu</w:t>
      </w:r>
      <w:r w:rsidR="006E29E3" w:rsidRPr="001B1BC9">
        <w:rPr>
          <w:rFonts w:ascii="Geomanist" w:eastAsia="Calibri" w:hAnsi="Geomanist" w:cs="Times New Roman"/>
        </w:rPr>
        <w:t>sión</w:t>
      </w:r>
      <w:r w:rsidRPr="001B1BC9">
        <w:rPr>
          <w:rFonts w:ascii="Geomanist" w:eastAsia="Calibri" w:hAnsi="Geomanist" w:cs="Times New Roman"/>
        </w:rPr>
        <w:t>.</w:t>
      </w:r>
    </w:p>
    <w:p w14:paraId="448FF03C" w14:textId="77777777" w:rsidR="00724BFF" w:rsidRDefault="00724BFF" w:rsidP="00724BFF">
      <w:pPr>
        <w:spacing w:after="0" w:line="240" w:lineRule="auto"/>
        <w:contextualSpacing/>
        <w:jc w:val="both"/>
        <w:rPr>
          <w:rFonts w:ascii="Geomanist" w:eastAsia="Calibri" w:hAnsi="Geomanist" w:cs="Times New Roman"/>
        </w:rPr>
      </w:pPr>
    </w:p>
    <w:p w14:paraId="019D4828" w14:textId="5E1EFD6D" w:rsidR="00096CCA" w:rsidRPr="001B1BC9" w:rsidRDefault="00096CCA" w:rsidP="00EB5D2E">
      <w:pPr>
        <w:spacing w:after="0" w:line="276" w:lineRule="auto"/>
        <w:jc w:val="both"/>
        <w:rPr>
          <w:rFonts w:ascii="Geomanist" w:hAnsi="Geomanist"/>
          <w:b/>
          <w:bCs/>
        </w:rPr>
      </w:pPr>
      <w:r w:rsidRPr="001B1BC9">
        <w:rPr>
          <w:rFonts w:ascii="Geomanist" w:hAnsi="Geomanist"/>
          <w:b/>
          <w:bCs/>
        </w:rPr>
        <w:t>Estatuto del Personal Académico</w:t>
      </w:r>
      <w:r w:rsidR="00166976" w:rsidRPr="001B1BC9">
        <w:rPr>
          <w:rFonts w:ascii="Geomanist" w:hAnsi="Geomanist"/>
          <w:b/>
          <w:bCs/>
        </w:rPr>
        <w:t xml:space="preserve"> (EPA)</w:t>
      </w:r>
    </w:p>
    <w:p w14:paraId="4206238D" w14:textId="4B51ECB7" w:rsidR="00372B08" w:rsidRDefault="00CC773A" w:rsidP="009D3A62">
      <w:pPr>
        <w:spacing w:line="276" w:lineRule="auto"/>
        <w:jc w:val="both"/>
        <w:rPr>
          <w:rFonts w:ascii="Geomanist" w:eastAsia="Calibri" w:hAnsi="Geomanist" w:cs="Times New Roman"/>
        </w:rPr>
      </w:pPr>
      <w:r w:rsidRPr="001B1BC9">
        <w:rPr>
          <w:rFonts w:ascii="Geomanist" w:hAnsi="Geomanist"/>
        </w:rPr>
        <w:t xml:space="preserve">En esta misma reunión del 28 de febrero, se </w:t>
      </w:r>
      <w:r w:rsidR="00372B08" w:rsidRPr="001B1BC9">
        <w:rPr>
          <w:rFonts w:ascii="Geomanist" w:hAnsi="Geomanist"/>
        </w:rPr>
        <w:t>reiteró</w:t>
      </w:r>
      <w:r w:rsidRPr="001B1BC9">
        <w:rPr>
          <w:rFonts w:ascii="Geomanist" w:hAnsi="Geomanist"/>
        </w:rPr>
        <w:t xml:space="preserve"> la necesidad de actualizar </w:t>
      </w:r>
      <w:r w:rsidR="00166976" w:rsidRPr="001B1BC9">
        <w:rPr>
          <w:rFonts w:ascii="Geomanist" w:hAnsi="Geomanist"/>
        </w:rPr>
        <w:t xml:space="preserve">el </w:t>
      </w:r>
      <w:r w:rsidR="00AF0BC2" w:rsidRPr="00AF0BC2">
        <w:rPr>
          <w:rFonts w:ascii="Geomanist" w:eastAsia="Calibri" w:hAnsi="Geomanist" w:cs="Times New Roman"/>
        </w:rPr>
        <w:t>Estatuto del Personal Académico (EPA)</w:t>
      </w:r>
      <w:r w:rsidR="00372B08" w:rsidRPr="001B1BC9">
        <w:rPr>
          <w:rFonts w:ascii="Geomanist" w:hAnsi="Geomanist"/>
        </w:rPr>
        <w:t xml:space="preserve">, </w:t>
      </w:r>
      <w:r w:rsidR="00AF0BC2">
        <w:rPr>
          <w:rFonts w:ascii="Geomanist" w:hAnsi="Geomanist"/>
        </w:rPr>
        <w:t xml:space="preserve">con el objetivo de </w:t>
      </w:r>
      <w:r w:rsidR="00372B08" w:rsidRPr="001B1BC9">
        <w:rPr>
          <w:rFonts w:ascii="Geomanist" w:eastAsia="Calibri" w:hAnsi="Geomanist" w:cs="Times New Roman"/>
        </w:rPr>
        <w:t>mejorar las disposiciones que rigen los derechos, compromisos y responsabilidades de la comunidad académica en ECOSUR</w:t>
      </w:r>
      <w:r w:rsidR="00AF0BC2">
        <w:rPr>
          <w:rFonts w:ascii="Geomanist" w:eastAsia="Calibri" w:hAnsi="Geomanist" w:cs="Times New Roman"/>
        </w:rPr>
        <w:t>. Se</w:t>
      </w:r>
      <w:r w:rsidR="00372B08" w:rsidRPr="001B1BC9">
        <w:rPr>
          <w:rFonts w:ascii="Geomanist" w:eastAsia="Calibri" w:hAnsi="Geomanist" w:cs="Times New Roman"/>
        </w:rPr>
        <w:t xml:space="preserve"> buscar establecer una cultura de respeto</w:t>
      </w:r>
      <w:r w:rsidR="00C91A04" w:rsidRPr="001B1BC9">
        <w:rPr>
          <w:rFonts w:ascii="Geomanist" w:eastAsia="Calibri" w:hAnsi="Geomanist" w:cs="Times New Roman"/>
        </w:rPr>
        <w:t>,</w:t>
      </w:r>
      <w:r w:rsidR="00372B08" w:rsidRPr="001B1BC9">
        <w:rPr>
          <w:rFonts w:ascii="Geomanist" w:eastAsia="Calibri" w:hAnsi="Geomanist" w:cs="Times New Roman"/>
        </w:rPr>
        <w:t xml:space="preserve"> inclusión e Igualdad para todas las personas, garantizando la transparencia en los procesos de contratación, evaluación, promoción, permanencia y jubilación. Ad</w:t>
      </w:r>
      <w:r w:rsidR="00AF0BC2">
        <w:rPr>
          <w:rFonts w:ascii="Geomanist" w:eastAsia="Calibri" w:hAnsi="Geomanist" w:cs="Times New Roman"/>
        </w:rPr>
        <w:t xml:space="preserve">emás, es fundamental adaptar </w:t>
      </w:r>
      <w:r w:rsidR="00372B08" w:rsidRPr="001B1BC9">
        <w:rPr>
          <w:rFonts w:ascii="Geomanist" w:eastAsia="Calibri" w:hAnsi="Geomanist" w:cs="Times New Roman"/>
        </w:rPr>
        <w:t>el EPA a las necesidades cambiantes de la institución y la comunidad académica</w:t>
      </w:r>
      <w:r w:rsidR="00AF0BC2">
        <w:rPr>
          <w:rFonts w:ascii="Geomanist" w:eastAsia="Calibri" w:hAnsi="Geomanist" w:cs="Times New Roman"/>
        </w:rPr>
        <w:t>,</w:t>
      </w:r>
      <w:r w:rsidR="00372B08" w:rsidRPr="001B1BC9">
        <w:rPr>
          <w:rFonts w:ascii="Geomanist" w:eastAsia="Calibri" w:hAnsi="Geomanist" w:cs="Times New Roman"/>
        </w:rPr>
        <w:t xml:space="preserve"> </w:t>
      </w:r>
      <w:r w:rsidR="00AF0BC2">
        <w:rPr>
          <w:rFonts w:ascii="Geomanist" w:eastAsia="Calibri" w:hAnsi="Geomanist" w:cs="Times New Roman"/>
        </w:rPr>
        <w:t xml:space="preserve">incorporando </w:t>
      </w:r>
      <w:r w:rsidR="00372B08" w:rsidRPr="001B1BC9">
        <w:rPr>
          <w:rFonts w:ascii="Geomanist" w:eastAsia="Calibri" w:hAnsi="Geomanist" w:cs="Times New Roman"/>
        </w:rPr>
        <w:t>prácticas innovadoras y mejores estándares internacionales, y alinear las normas del documento a las modificaciones legales recientes y el nuevo entorno regulatorio federal.</w:t>
      </w:r>
    </w:p>
    <w:p w14:paraId="765A33EA" w14:textId="2D28BCC8" w:rsidR="0061485B" w:rsidRDefault="00586A87" w:rsidP="0061485B">
      <w:pPr>
        <w:spacing w:after="0" w:line="276" w:lineRule="auto"/>
        <w:jc w:val="both"/>
        <w:rPr>
          <w:rFonts w:ascii="Geomanist" w:hAnsi="Geomanist"/>
        </w:rPr>
      </w:pPr>
      <w:r w:rsidRPr="001B1BC9">
        <w:rPr>
          <w:rFonts w:ascii="Geomanist" w:hAnsi="Geomanist"/>
        </w:rPr>
        <w:t>Se informó a la comunidad sobre la creación de una plataforma en línea</w:t>
      </w:r>
      <w:r w:rsidR="009A181D" w:rsidRPr="001B1BC9">
        <w:rPr>
          <w:rFonts w:ascii="Geomanist" w:hAnsi="Geomanist"/>
        </w:rPr>
        <w:t xml:space="preserve">, un micrositio </w:t>
      </w:r>
      <w:r w:rsidR="00897005" w:rsidRPr="001B1BC9">
        <w:rPr>
          <w:rFonts w:ascii="Geomanist" w:eastAsia="Calibri" w:hAnsi="Geomanist" w:cs="Times New Roman"/>
        </w:rPr>
        <w:t xml:space="preserve">que ofrece una guía de procedimientos </w:t>
      </w:r>
      <w:r w:rsidR="007D7DE9" w:rsidRPr="001B1BC9">
        <w:rPr>
          <w:rFonts w:ascii="Geomanist" w:eastAsia="Calibri" w:hAnsi="Geomanist" w:cs="Times New Roman"/>
        </w:rPr>
        <w:t>para</w:t>
      </w:r>
      <w:r w:rsidR="00897005" w:rsidRPr="001B1BC9">
        <w:rPr>
          <w:rFonts w:ascii="Geomanist" w:eastAsia="Calibri" w:hAnsi="Geomanist" w:cs="Times New Roman"/>
        </w:rPr>
        <w:t xml:space="preserve"> participar en la revisión y propuesta de mejora del EPA. </w:t>
      </w:r>
      <w:r w:rsidR="007D7DE9" w:rsidRPr="001B1BC9">
        <w:rPr>
          <w:rFonts w:ascii="Geomanist" w:eastAsia="Calibri" w:hAnsi="Geomanist" w:cs="Times New Roman"/>
        </w:rPr>
        <w:t>Se solicitó al personal revisar el EPA</w:t>
      </w:r>
      <w:r w:rsidR="00194F82" w:rsidRPr="001B1BC9">
        <w:rPr>
          <w:rFonts w:ascii="Geomanist" w:eastAsia="Calibri" w:hAnsi="Geomanist" w:cs="Times New Roman"/>
        </w:rPr>
        <w:t xml:space="preserve"> de preferencia</w:t>
      </w:r>
      <w:r w:rsidR="007D7DE9" w:rsidRPr="001B1BC9">
        <w:rPr>
          <w:rFonts w:ascii="Geomanist" w:eastAsia="Calibri" w:hAnsi="Geomanist" w:cs="Times New Roman"/>
        </w:rPr>
        <w:t xml:space="preserve"> </w:t>
      </w:r>
      <w:r w:rsidR="00194F82" w:rsidRPr="001B1BC9">
        <w:rPr>
          <w:rFonts w:ascii="Geomanist" w:eastAsia="Calibri" w:hAnsi="Geomanist" w:cs="Times New Roman"/>
        </w:rPr>
        <w:t>de forma colaborativa</w:t>
      </w:r>
      <w:r w:rsidR="0061485B">
        <w:rPr>
          <w:rFonts w:ascii="Geomanist" w:eastAsia="Calibri" w:hAnsi="Geomanist" w:cs="Times New Roman"/>
        </w:rPr>
        <w:t>, para posteriormente s</w:t>
      </w:r>
      <w:r w:rsidR="0061485B" w:rsidRPr="0061485B">
        <w:rPr>
          <w:rFonts w:ascii="Geomanist" w:hAnsi="Geomanist"/>
        </w:rPr>
        <w:t>istematizar las respuestas y conformar un grupo representativo que analice los resultados y elabore una propuesta de EPA que se someterá a la Asamblea.</w:t>
      </w:r>
    </w:p>
    <w:p w14:paraId="6E4049B4" w14:textId="77777777" w:rsidR="0061485B" w:rsidRPr="001B1BC9" w:rsidRDefault="0061485B" w:rsidP="00EB5D2E">
      <w:pPr>
        <w:spacing w:after="0" w:line="276" w:lineRule="auto"/>
        <w:jc w:val="both"/>
        <w:rPr>
          <w:rFonts w:ascii="Geomanist" w:hAnsi="Geomanist"/>
        </w:rPr>
      </w:pPr>
    </w:p>
    <w:p w14:paraId="6C0A0126" w14:textId="77777777" w:rsidR="00545D50" w:rsidRPr="001B1BC9" w:rsidRDefault="00545D50" w:rsidP="00545D50">
      <w:pPr>
        <w:spacing w:after="0" w:line="276" w:lineRule="auto"/>
        <w:jc w:val="both"/>
        <w:rPr>
          <w:rFonts w:ascii="Geomanist" w:eastAsia="Calibri" w:hAnsi="Geomanist" w:cs="Times New Roman"/>
        </w:rPr>
      </w:pPr>
      <w:r w:rsidRPr="001B1BC9">
        <w:rPr>
          <w:rFonts w:ascii="Geomanist" w:eastAsia="Calibri" w:hAnsi="Geomanist" w:cs="Times New Roman"/>
        </w:rPr>
        <w:t>Al finalizar la discusión, se tomó el siguiente Acuerdo:</w:t>
      </w:r>
    </w:p>
    <w:p w14:paraId="56DB014B" w14:textId="2FCCDE17" w:rsidR="00545D50" w:rsidRDefault="00545D50" w:rsidP="009D3A62">
      <w:pPr>
        <w:numPr>
          <w:ilvl w:val="0"/>
          <w:numId w:val="5"/>
        </w:numPr>
        <w:spacing w:after="0" w:line="276" w:lineRule="auto"/>
        <w:ind w:left="567" w:hanging="283"/>
        <w:contextualSpacing/>
        <w:jc w:val="both"/>
        <w:rPr>
          <w:rFonts w:ascii="Geomanist" w:eastAsia="Calibri" w:hAnsi="Geomanist" w:cs="Times New Roman"/>
        </w:rPr>
      </w:pPr>
      <w:r w:rsidRPr="001B1BC9">
        <w:rPr>
          <w:rFonts w:ascii="Geomanist" w:eastAsia="Calibri" w:hAnsi="Geomanist" w:cs="Times New Roman"/>
        </w:rPr>
        <w:t xml:space="preserve">La Dirección General a través de la Coordinación de Desarrollo Organizacional </w:t>
      </w:r>
      <w:r w:rsidR="0061485B">
        <w:rPr>
          <w:rFonts w:ascii="Geomanist" w:eastAsia="Calibri" w:hAnsi="Geomanist" w:cs="Times New Roman"/>
        </w:rPr>
        <w:t xml:space="preserve">(actualmente Coordinación de Articulación y Fortalecimiento Institucional) </w:t>
      </w:r>
      <w:r w:rsidRPr="001B1BC9">
        <w:rPr>
          <w:rFonts w:ascii="Geomanist" w:eastAsia="Calibri" w:hAnsi="Geomanist" w:cs="Times New Roman"/>
        </w:rPr>
        <w:t xml:space="preserve">emitirá una consulta pública </w:t>
      </w:r>
      <w:r w:rsidR="0061485B">
        <w:rPr>
          <w:rFonts w:ascii="Geomanist" w:eastAsia="Calibri" w:hAnsi="Geomanist" w:cs="Times New Roman"/>
        </w:rPr>
        <w:t xml:space="preserve">mediante una plataforma en línea </w:t>
      </w:r>
      <w:r w:rsidRPr="001B1BC9">
        <w:rPr>
          <w:rFonts w:ascii="Geomanist" w:eastAsia="Calibri" w:hAnsi="Geomanist" w:cs="Times New Roman"/>
        </w:rPr>
        <w:t>a nivel de colectivos e individual</w:t>
      </w:r>
      <w:r w:rsidR="0061485B">
        <w:rPr>
          <w:rFonts w:ascii="Geomanist" w:eastAsia="Calibri" w:hAnsi="Geomanist" w:cs="Times New Roman"/>
        </w:rPr>
        <w:t>, quienes enviarán</w:t>
      </w:r>
      <w:r w:rsidRPr="001B1BC9">
        <w:rPr>
          <w:rFonts w:ascii="Geomanist" w:eastAsia="Calibri" w:hAnsi="Geomanist" w:cs="Times New Roman"/>
        </w:rPr>
        <w:t xml:space="preserve"> propuestas de elementos de creación y ajustes de artículos del Estatuto del Personal Académico (EPA). </w:t>
      </w:r>
    </w:p>
    <w:p w14:paraId="16C29090" w14:textId="77777777" w:rsidR="007638DC" w:rsidRDefault="007638DC" w:rsidP="007638DC">
      <w:pPr>
        <w:spacing w:after="0" w:line="276" w:lineRule="auto"/>
        <w:contextualSpacing/>
        <w:jc w:val="both"/>
        <w:rPr>
          <w:rFonts w:ascii="Geomanist" w:eastAsia="Calibri" w:hAnsi="Geomanist" w:cs="Times New Roman"/>
        </w:rPr>
      </w:pPr>
    </w:p>
    <w:p w14:paraId="7F531C87" w14:textId="0413AE0B" w:rsidR="007638DC" w:rsidRDefault="007638DC" w:rsidP="007638DC">
      <w:pPr>
        <w:spacing w:after="0" w:line="276" w:lineRule="auto"/>
        <w:contextualSpacing/>
        <w:jc w:val="both"/>
        <w:rPr>
          <w:rFonts w:ascii="Geomanist" w:eastAsia="Calibri" w:hAnsi="Geomanist" w:cs="Times New Roman"/>
        </w:rPr>
      </w:pPr>
      <w:r>
        <w:rPr>
          <w:rFonts w:ascii="Geomanist" w:eastAsia="Calibri" w:hAnsi="Geomanist" w:cs="Times New Roman"/>
        </w:rPr>
        <w:t>Destaca la realización de un taller presencial con representación de los diferentes Departamentos y Unidades, que permitió revisar las sugerencias de</w:t>
      </w:r>
      <w:r w:rsidR="00586D90">
        <w:rPr>
          <w:rFonts w:ascii="Geomanist" w:eastAsia="Calibri" w:hAnsi="Geomanist" w:cs="Times New Roman"/>
        </w:rPr>
        <w:t xml:space="preserve"> </w:t>
      </w:r>
      <w:r>
        <w:rPr>
          <w:rFonts w:ascii="Geomanist" w:eastAsia="Calibri" w:hAnsi="Geomanist" w:cs="Times New Roman"/>
        </w:rPr>
        <w:t>la comunidad respecto a varios elementos de la Propuesta de EPA</w:t>
      </w:r>
      <w:r w:rsidR="00586D90">
        <w:rPr>
          <w:rFonts w:ascii="Geomanist" w:eastAsia="Calibri" w:hAnsi="Geomanist" w:cs="Times New Roman"/>
        </w:rPr>
        <w:t>, para proponer una versión consensuada.</w:t>
      </w:r>
    </w:p>
    <w:p w14:paraId="1F49718D" w14:textId="77777777" w:rsidR="00586D90" w:rsidRDefault="00586D90" w:rsidP="007638DC">
      <w:pPr>
        <w:spacing w:after="0" w:line="276" w:lineRule="auto"/>
        <w:contextualSpacing/>
        <w:jc w:val="both"/>
        <w:rPr>
          <w:rFonts w:ascii="Geomanist" w:eastAsia="Calibri" w:hAnsi="Geomanist" w:cs="Times New Roman"/>
        </w:rPr>
      </w:pPr>
    </w:p>
    <w:p w14:paraId="16C0B905" w14:textId="15A06453" w:rsidR="00586D90" w:rsidRDefault="00586D90" w:rsidP="007638DC">
      <w:pPr>
        <w:spacing w:after="0" w:line="276" w:lineRule="auto"/>
        <w:contextualSpacing/>
        <w:jc w:val="both"/>
        <w:rPr>
          <w:rFonts w:ascii="Geomanist" w:eastAsia="Calibri" w:hAnsi="Geomanist" w:cs="Times New Roman"/>
        </w:rPr>
      </w:pPr>
      <w:r>
        <w:rPr>
          <w:rFonts w:ascii="Geomanist" w:eastAsia="Calibri" w:hAnsi="Geomanist" w:cs="Times New Roman"/>
        </w:rPr>
        <w:t xml:space="preserve">Actualmente </w:t>
      </w:r>
      <w:r w:rsidR="00940D53">
        <w:rPr>
          <w:rFonts w:ascii="Geomanist" w:eastAsia="Calibri" w:hAnsi="Geomanist" w:cs="Times New Roman"/>
        </w:rPr>
        <w:t>el Documento está en fase final de redacción.</w:t>
      </w:r>
    </w:p>
    <w:p w14:paraId="77C42DF0" w14:textId="77777777" w:rsidR="0061485B" w:rsidRDefault="0061485B" w:rsidP="0061485B">
      <w:pPr>
        <w:spacing w:after="0" w:line="240" w:lineRule="auto"/>
        <w:ind w:left="567"/>
        <w:contextualSpacing/>
        <w:jc w:val="both"/>
        <w:rPr>
          <w:rFonts w:ascii="Geomanist" w:eastAsia="Calibri" w:hAnsi="Geomanist" w:cs="Times New Roman"/>
        </w:rPr>
      </w:pPr>
    </w:p>
    <w:p w14:paraId="5900C2A6" w14:textId="77777777" w:rsidR="00545D50" w:rsidRDefault="00545D50" w:rsidP="00EB5D2E">
      <w:pPr>
        <w:spacing w:after="0" w:line="276" w:lineRule="auto"/>
        <w:jc w:val="both"/>
        <w:rPr>
          <w:rFonts w:ascii="Geomanist" w:hAnsi="Geomanist"/>
        </w:rPr>
      </w:pPr>
    </w:p>
    <w:p w14:paraId="2ED5E0ED" w14:textId="520A062C" w:rsidR="00481418" w:rsidRPr="00940D53" w:rsidRDefault="00481418" w:rsidP="00940D53">
      <w:pPr>
        <w:pStyle w:val="NormalWeb"/>
        <w:jc w:val="center"/>
      </w:pPr>
      <w:r>
        <w:rPr>
          <w:noProof/>
        </w:rPr>
        <w:drawing>
          <wp:inline distT="0" distB="0" distL="0" distR="0" wp14:anchorId="28BFB474" wp14:editId="143F8A68">
            <wp:extent cx="3838575" cy="3838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EFD7A" w14:textId="77777777" w:rsidR="00480A45" w:rsidRPr="001B1BC9" w:rsidRDefault="00352ED4" w:rsidP="00480A45">
      <w:pPr>
        <w:spacing w:after="0" w:line="276" w:lineRule="auto"/>
        <w:jc w:val="both"/>
        <w:rPr>
          <w:rFonts w:ascii="Geomanist" w:eastAsia="Aptos" w:hAnsi="Geomanist" w:cs="Segoe UI"/>
          <w:b/>
          <w:bCs/>
        </w:rPr>
      </w:pPr>
      <w:r w:rsidRPr="001B1BC9">
        <w:rPr>
          <w:rFonts w:ascii="Geomanist" w:eastAsia="Aptos" w:hAnsi="Geomanist" w:cs="Segoe UI"/>
          <w:b/>
          <w:bCs/>
        </w:rPr>
        <w:t>Creación del</w:t>
      </w:r>
      <w:r w:rsidR="00D62A9B" w:rsidRPr="001B1BC9">
        <w:rPr>
          <w:rFonts w:ascii="Geomanist" w:eastAsia="Aptos" w:hAnsi="Geomanist" w:cs="Segoe UI"/>
          <w:b/>
          <w:bCs/>
        </w:rPr>
        <w:t xml:space="preserve"> Reglamento Interno </w:t>
      </w:r>
      <w:r w:rsidR="00480A45" w:rsidRPr="001B1BC9">
        <w:rPr>
          <w:rFonts w:ascii="Geomanist" w:eastAsia="Aptos" w:hAnsi="Geomanist" w:cs="Segoe UI"/>
          <w:b/>
          <w:bCs/>
        </w:rPr>
        <w:t xml:space="preserve">del Comité Académico </w:t>
      </w:r>
    </w:p>
    <w:p w14:paraId="7D448A4C" w14:textId="0A957468" w:rsidR="00B53C67" w:rsidRPr="001B1BC9" w:rsidRDefault="00B53C67" w:rsidP="00480A45">
      <w:pPr>
        <w:spacing w:after="0" w:line="276" w:lineRule="auto"/>
        <w:jc w:val="both"/>
        <w:rPr>
          <w:rFonts w:ascii="Geomanist" w:eastAsia="Aptos" w:hAnsi="Geomanist" w:cs="Segoe UI"/>
        </w:rPr>
      </w:pPr>
      <w:r w:rsidRPr="001B1BC9">
        <w:rPr>
          <w:rFonts w:ascii="Geomanist" w:eastAsia="Aptos" w:hAnsi="Geomanist" w:cs="Segoe UI"/>
        </w:rPr>
        <w:t>En</w:t>
      </w:r>
      <w:r w:rsidR="00480A45" w:rsidRPr="001B1BC9">
        <w:rPr>
          <w:rFonts w:ascii="Geomanist" w:eastAsia="Aptos" w:hAnsi="Geomanist" w:cs="Segoe UI"/>
        </w:rPr>
        <w:t xml:space="preserve"> la segunda sesión ordinaria </w:t>
      </w:r>
      <w:r w:rsidR="0061485B">
        <w:rPr>
          <w:rFonts w:ascii="Geomanist" w:eastAsia="Aptos" w:hAnsi="Geomanist" w:cs="Segoe UI"/>
        </w:rPr>
        <w:t xml:space="preserve">de </w:t>
      </w:r>
      <w:r w:rsidR="00480A45" w:rsidRPr="001B1BC9">
        <w:rPr>
          <w:rFonts w:ascii="Geomanist" w:eastAsia="Aptos" w:hAnsi="Geomanist" w:cs="Segoe UI"/>
        </w:rPr>
        <w:t>2023 de la Junta de Gobierno</w:t>
      </w:r>
      <w:r w:rsidRPr="001B1BC9">
        <w:rPr>
          <w:rFonts w:ascii="Geomanist" w:eastAsia="Aptos" w:hAnsi="Geomanist" w:cs="Segoe UI"/>
        </w:rPr>
        <w:t xml:space="preserve"> </w:t>
      </w:r>
      <w:r w:rsidR="00480A45" w:rsidRPr="001B1BC9">
        <w:rPr>
          <w:rFonts w:ascii="Geomanist" w:eastAsia="Aptos" w:hAnsi="Geomanist" w:cs="Segoe UI"/>
        </w:rPr>
        <w:t>de ECOSUR</w:t>
      </w:r>
      <w:r w:rsidRPr="001B1BC9">
        <w:rPr>
          <w:rFonts w:ascii="Geomanist" w:eastAsia="Aptos" w:hAnsi="Geomanist" w:cs="Segoe UI"/>
        </w:rPr>
        <w:t>, se aprobó el Reglamento Interno del Comité Académico de El Colegio de la Frontera Sur</w:t>
      </w:r>
      <w:r w:rsidR="0061485B">
        <w:rPr>
          <w:rFonts w:ascii="Geomanist" w:eastAsia="Aptos" w:hAnsi="Geomanist" w:cs="Segoe UI"/>
        </w:rPr>
        <w:t xml:space="preserve">. Este reglamento </w:t>
      </w:r>
      <w:r w:rsidRPr="001B1BC9">
        <w:rPr>
          <w:rFonts w:ascii="Geomanist" w:eastAsia="Aptos" w:hAnsi="Geomanist" w:cs="Segoe UI"/>
        </w:rPr>
        <w:t xml:space="preserve">concentra la regulación de </w:t>
      </w:r>
      <w:r w:rsidR="00480A45" w:rsidRPr="001B1BC9">
        <w:rPr>
          <w:rFonts w:ascii="Geomanist" w:eastAsia="Aptos" w:hAnsi="Geomanist" w:cs="Segoe UI"/>
        </w:rPr>
        <w:t xml:space="preserve">los siguientes </w:t>
      </w:r>
      <w:r w:rsidR="0061485B">
        <w:rPr>
          <w:rFonts w:ascii="Geomanist" w:eastAsia="Aptos" w:hAnsi="Geomanist" w:cs="Segoe UI"/>
        </w:rPr>
        <w:t>c</w:t>
      </w:r>
      <w:r w:rsidR="00480A45" w:rsidRPr="001B1BC9">
        <w:rPr>
          <w:rFonts w:ascii="Geomanist" w:eastAsia="Aptos" w:hAnsi="Geomanist" w:cs="Segoe UI"/>
        </w:rPr>
        <w:t xml:space="preserve">omités: </w:t>
      </w:r>
      <w:r w:rsidR="0061485B">
        <w:rPr>
          <w:rFonts w:ascii="Geomanist" w:eastAsia="Aptos" w:hAnsi="Geomanist" w:cs="Segoe UI"/>
        </w:rPr>
        <w:t xml:space="preserve">el </w:t>
      </w:r>
      <w:r w:rsidRPr="001B1BC9">
        <w:rPr>
          <w:rFonts w:ascii="Geomanist" w:eastAsia="Aptos" w:hAnsi="Geomanist" w:cs="Segoe UI"/>
        </w:rPr>
        <w:t xml:space="preserve">Comité de Investigación, </w:t>
      </w:r>
      <w:r w:rsidR="00480A45" w:rsidRPr="001B1BC9">
        <w:rPr>
          <w:rFonts w:ascii="Geomanist" w:eastAsia="Aptos" w:hAnsi="Geomanist" w:cs="Segoe UI"/>
        </w:rPr>
        <w:t xml:space="preserve">creado </w:t>
      </w:r>
      <w:r w:rsidR="004E3EEB" w:rsidRPr="001B1BC9">
        <w:rPr>
          <w:rFonts w:ascii="Geomanist" w:eastAsia="Aptos" w:hAnsi="Geomanist" w:cs="Segoe UI"/>
        </w:rPr>
        <w:t xml:space="preserve">en el primer trimestre 2024; </w:t>
      </w:r>
      <w:r w:rsidR="0061485B">
        <w:rPr>
          <w:rFonts w:ascii="Geomanist" w:eastAsia="Aptos" w:hAnsi="Geomanist" w:cs="Segoe UI"/>
        </w:rPr>
        <w:t xml:space="preserve">la </w:t>
      </w:r>
      <w:r w:rsidR="004E3EEB" w:rsidRPr="001B1BC9">
        <w:rPr>
          <w:rFonts w:ascii="Geomanist" w:eastAsia="Aptos" w:hAnsi="Geomanist" w:cs="Segoe UI"/>
        </w:rPr>
        <w:t>actualización de</w:t>
      </w:r>
      <w:r w:rsidR="0043561A" w:rsidRPr="001B1BC9">
        <w:rPr>
          <w:rFonts w:ascii="Geomanist" w:eastAsia="Aptos" w:hAnsi="Geomanist" w:cs="Segoe UI"/>
        </w:rPr>
        <w:t xml:space="preserve">l Reglamento de la Comisión Dictaminadora Interna (CDI); </w:t>
      </w:r>
      <w:r w:rsidR="0061485B">
        <w:rPr>
          <w:rFonts w:ascii="Geomanist" w:eastAsia="Aptos" w:hAnsi="Geomanist" w:cs="Segoe UI"/>
        </w:rPr>
        <w:t xml:space="preserve">la </w:t>
      </w:r>
      <w:r w:rsidR="00E2435A" w:rsidRPr="001B1BC9">
        <w:rPr>
          <w:rFonts w:ascii="Geomanist" w:eastAsia="Aptos" w:hAnsi="Geomanist" w:cs="Segoe UI"/>
        </w:rPr>
        <w:t>a</w:t>
      </w:r>
      <w:r w:rsidR="0043561A" w:rsidRPr="001B1BC9">
        <w:rPr>
          <w:rFonts w:ascii="Geomanist" w:eastAsia="Aptos" w:hAnsi="Geomanist" w:cs="Segoe UI"/>
        </w:rPr>
        <w:t xml:space="preserve">ctualización del Reglamento del Comité Evaluador de </w:t>
      </w:r>
      <w:proofErr w:type="gramStart"/>
      <w:r w:rsidR="0043561A" w:rsidRPr="001B1BC9">
        <w:rPr>
          <w:rFonts w:ascii="Geomanist" w:eastAsia="Aptos" w:hAnsi="Geomanist" w:cs="Segoe UI"/>
        </w:rPr>
        <w:t>Técnicos y Técnicas</w:t>
      </w:r>
      <w:proofErr w:type="gramEnd"/>
      <w:r w:rsidR="0043561A" w:rsidRPr="001B1BC9">
        <w:rPr>
          <w:rFonts w:ascii="Geomanist" w:eastAsia="Aptos" w:hAnsi="Geomanist" w:cs="Segoe UI"/>
        </w:rPr>
        <w:t xml:space="preserve"> (CETT); y </w:t>
      </w:r>
      <w:r w:rsidR="0061485B">
        <w:rPr>
          <w:rFonts w:ascii="Geomanist" w:eastAsia="Aptos" w:hAnsi="Geomanist" w:cs="Segoe UI"/>
        </w:rPr>
        <w:t xml:space="preserve">la </w:t>
      </w:r>
      <w:r w:rsidR="0043561A" w:rsidRPr="001B1BC9">
        <w:rPr>
          <w:rFonts w:ascii="Geomanist" w:eastAsia="Aptos" w:hAnsi="Geomanist" w:cs="Segoe UI"/>
        </w:rPr>
        <w:t>actualización del Reglamento del Comité de Docencia.</w:t>
      </w:r>
    </w:p>
    <w:p w14:paraId="4A943F6A" w14:textId="77777777" w:rsidR="00947154" w:rsidRPr="001B1BC9" w:rsidRDefault="00947154" w:rsidP="00947154">
      <w:pPr>
        <w:spacing w:after="0" w:line="276" w:lineRule="auto"/>
        <w:jc w:val="both"/>
        <w:rPr>
          <w:rFonts w:ascii="Geomanist" w:hAnsi="Geomanist"/>
          <w:b/>
          <w:bCs/>
        </w:rPr>
      </w:pPr>
    </w:p>
    <w:p w14:paraId="07A65279" w14:textId="5B07855E" w:rsidR="00947154" w:rsidRPr="001B1BC9" w:rsidRDefault="00947154" w:rsidP="00947154">
      <w:pPr>
        <w:spacing w:after="0" w:line="276" w:lineRule="auto"/>
        <w:jc w:val="both"/>
        <w:rPr>
          <w:rFonts w:ascii="Geomanist" w:hAnsi="Geomanist"/>
          <w:b/>
          <w:bCs/>
        </w:rPr>
      </w:pPr>
      <w:r w:rsidRPr="001B1BC9">
        <w:rPr>
          <w:rFonts w:ascii="Geomanist" w:hAnsi="Geomanist"/>
          <w:b/>
          <w:bCs/>
        </w:rPr>
        <w:t>Elaboración de una propuesta para actualizar el Decreto que reestructura a El Colegio de la Frontera Sur</w:t>
      </w:r>
    </w:p>
    <w:p w14:paraId="12B69BFD" w14:textId="3C4357C0" w:rsidR="00947154" w:rsidRPr="001B1BC9" w:rsidRDefault="0031783E" w:rsidP="00947154">
      <w:pPr>
        <w:spacing w:after="0" w:line="276" w:lineRule="auto"/>
        <w:jc w:val="both"/>
        <w:rPr>
          <w:rFonts w:ascii="Geomanist" w:hAnsi="Geomanist"/>
        </w:rPr>
      </w:pPr>
      <w:r>
        <w:rPr>
          <w:rFonts w:ascii="Geomanist" w:hAnsi="Geomanist"/>
        </w:rPr>
        <w:t xml:space="preserve">A partir de las sugerencias </w:t>
      </w:r>
      <w:r w:rsidR="00C0484C">
        <w:rPr>
          <w:rFonts w:ascii="Geomanist" w:hAnsi="Geomanist"/>
        </w:rPr>
        <w:t>emitidas</w:t>
      </w:r>
      <w:r>
        <w:rPr>
          <w:rFonts w:ascii="Geomanist" w:hAnsi="Geomanist"/>
        </w:rPr>
        <w:t xml:space="preserve"> por </w:t>
      </w:r>
      <w:r w:rsidR="00F664BE">
        <w:rPr>
          <w:rFonts w:ascii="Geomanist" w:hAnsi="Geomanist"/>
        </w:rPr>
        <w:t>el área presupuestal d</w:t>
      </w:r>
      <w:r w:rsidR="006C0911">
        <w:rPr>
          <w:rFonts w:ascii="Geomanist" w:hAnsi="Geomanist"/>
        </w:rPr>
        <w:t xml:space="preserve">e la Unidad de Articulación Sectorial y Regional, </w:t>
      </w:r>
      <w:r w:rsidR="00941702">
        <w:rPr>
          <w:rFonts w:ascii="Geomanist" w:hAnsi="Geomanist"/>
        </w:rPr>
        <w:t>se</w:t>
      </w:r>
      <w:r w:rsidR="006C0911">
        <w:rPr>
          <w:rFonts w:ascii="Geomanist" w:hAnsi="Geomanist"/>
        </w:rPr>
        <w:t xml:space="preserve"> </w:t>
      </w:r>
      <w:r w:rsidR="0061485B">
        <w:rPr>
          <w:rFonts w:ascii="Geomanist" w:hAnsi="Geomanist"/>
        </w:rPr>
        <w:t>reenvió</w:t>
      </w:r>
      <w:r w:rsidR="00941702">
        <w:rPr>
          <w:rFonts w:ascii="Geomanist" w:hAnsi="Geomanist"/>
        </w:rPr>
        <w:t xml:space="preserve"> la propuesta de Decreto por el que se reforma El Colegio de la Frontera Sur </w:t>
      </w:r>
      <w:r w:rsidR="006C0911">
        <w:rPr>
          <w:rFonts w:ascii="Geomanist" w:hAnsi="Geomanist"/>
        </w:rPr>
        <w:t>mediante el oficio DG</w:t>
      </w:r>
      <w:r w:rsidR="00941702">
        <w:rPr>
          <w:rFonts w:ascii="Geomanist" w:hAnsi="Geomanist"/>
        </w:rPr>
        <w:t xml:space="preserve">-O-480/2024 del 23 de octubre </w:t>
      </w:r>
      <w:r w:rsidR="0061485B">
        <w:rPr>
          <w:rFonts w:ascii="Geomanist" w:hAnsi="Geomanist"/>
        </w:rPr>
        <w:t xml:space="preserve">de 2024, </w:t>
      </w:r>
      <w:r w:rsidR="00941702">
        <w:rPr>
          <w:rFonts w:ascii="Geomanist" w:hAnsi="Geomanist"/>
        </w:rPr>
        <w:t xml:space="preserve">para su validación </w:t>
      </w:r>
      <w:r w:rsidR="00155D64">
        <w:rPr>
          <w:rFonts w:ascii="Geomanist" w:hAnsi="Geomanist"/>
        </w:rPr>
        <w:t>por</w:t>
      </w:r>
      <w:r w:rsidR="00941702">
        <w:rPr>
          <w:rFonts w:ascii="Geomanist" w:hAnsi="Geomanist"/>
        </w:rPr>
        <w:t xml:space="preserve"> parte de la Unidad Jurídica del CONAHCYT y posible p</w:t>
      </w:r>
      <w:r w:rsidR="00D23B2D">
        <w:rPr>
          <w:rFonts w:ascii="Geomanist" w:hAnsi="Geomanist"/>
        </w:rPr>
        <w:t xml:space="preserve">resentación </w:t>
      </w:r>
      <w:r w:rsidR="00155D64">
        <w:rPr>
          <w:rFonts w:ascii="Geomanist" w:hAnsi="Geomanist"/>
        </w:rPr>
        <w:t>en</w:t>
      </w:r>
      <w:r w:rsidR="00D23B2D">
        <w:rPr>
          <w:rFonts w:ascii="Geomanist" w:hAnsi="Geomanist"/>
        </w:rPr>
        <w:t xml:space="preserve"> la segunda sesión ordinaria de Junta de Gobierno 2024.</w:t>
      </w:r>
    </w:p>
    <w:p w14:paraId="20D5B357" w14:textId="77777777" w:rsidR="0044514F" w:rsidRPr="001B1BC9" w:rsidRDefault="0044514F" w:rsidP="008D6E81">
      <w:pPr>
        <w:tabs>
          <w:tab w:val="left" w:pos="1063"/>
        </w:tabs>
        <w:spacing w:after="0" w:line="240" w:lineRule="auto"/>
        <w:ind w:right="-20"/>
        <w:jc w:val="both"/>
        <w:rPr>
          <w:rFonts w:ascii="Geomanist" w:eastAsia="Montserrat" w:hAnsi="Geomanist" w:cs="Montserrat"/>
        </w:rPr>
      </w:pPr>
    </w:p>
    <w:p w14:paraId="4974AC56" w14:textId="77777777" w:rsidR="00D96866" w:rsidRDefault="00D96866" w:rsidP="008D6E81">
      <w:pPr>
        <w:tabs>
          <w:tab w:val="left" w:pos="1063"/>
        </w:tabs>
        <w:spacing w:after="0" w:line="240" w:lineRule="auto"/>
        <w:ind w:right="-20"/>
        <w:jc w:val="both"/>
        <w:rPr>
          <w:rFonts w:ascii="Geomanist" w:eastAsia="Aptos" w:hAnsi="Geomanist" w:cs="Segoe UI"/>
          <w:b/>
          <w:bCs/>
        </w:rPr>
      </w:pPr>
    </w:p>
    <w:p w14:paraId="67E0D9E1" w14:textId="77777777" w:rsidR="00D96866" w:rsidRDefault="00D96866">
      <w:pPr>
        <w:rPr>
          <w:rFonts w:ascii="Geomanist" w:eastAsia="Aptos" w:hAnsi="Geomanist" w:cs="Segoe UI"/>
          <w:b/>
          <w:bCs/>
        </w:rPr>
      </w:pPr>
      <w:r>
        <w:rPr>
          <w:rFonts w:ascii="Geomanist" w:eastAsia="Aptos" w:hAnsi="Geomanist" w:cs="Segoe UI"/>
          <w:b/>
          <w:bCs/>
        </w:rPr>
        <w:br w:type="page"/>
      </w:r>
    </w:p>
    <w:p w14:paraId="5CDCDBB8" w14:textId="3F03DB14" w:rsidR="00D96866" w:rsidRPr="001B1BC9" w:rsidRDefault="0001612B" w:rsidP="008D6E81">
      <w:pPr>
        <w:tabs>
          <w:tab w:val="left" w:pos="1063"/>
        </w:tabs>
        <w:spacing w:after="0" w:line="240" w:lineRule="auto"/>
        <w:ind w:right="-20"/>
        <w:jc w:val="both"/>
        <w:rPr>
          <w:rFonts w:ascii="Geomanist" w:eastAsia="Aptos" w:hAnsi="Geomanist" w:cs="Segoe UI"/>
          <w:b/>
          <w:bCs/>
        </w:rPr>
      </w:pPr>
      <w:r w:rsidRPr="001B1BC9">
        <w:rPr>
          <w:rFonts w:ascii="Geomanist" w:eastAsia="Aptos" w:hAnsi="Geomanist" w:cs="Segoe UI"/>
          <w:b/>
          <w:bCs/>
        </w:rPr>
        <w:lastRenderedPageBreak/>
        <w:t xml:space="preserve">Elaboración de una propuesta para actualizar los </w:t>
      </w:r>
      <w:r w:rsidR="00831AD4" w:rsidRPr="001B1BC9">
        <w:rPr>
          <w:rFonts w:ascii="Geomanist" w:eastAsia="Aptos" w:hAnsi="Geomanist" w:cs="Segoe UI"/>
          <w:b/>
          <w:bCs/>
        </w:rPr>
        <w:t>Li</w:t>
      </w:r>
      <w:r w:rsidR="00233D7D" w:rsidRPr="001B1BC9">
        <w:rPr>
          <w:rFonts w:ascii="Geomanist" w:eastAsia="Aptos" w:hAnsi="Geomanist" w:cs="Segoe UI"/>
          <w:b/>
          <w:bCs/>
        </w:rPr>
        <w:t xml:space="preserve">neamientos para el </w:t>
      </w:r>
      <w:r w:rsidR="00D1058C" w:rsidRPr="001B1BC9">
        <w:rPr>
          <w:rFonts w:ascii="Geomanist" w:eastAsia="Aptos" w:hAnsi="Geomanist" w:cs="Segoe UI"/>
          <w:b/>
          <w:bCs/>
        </w:rPr>
        <w:t>Otorgamiento</w:t>
      </w:r>
      <w:r w:rsidR="00233D7D" w:rsidRPr="001B1BC9">
        <w:rPr>
          <w:rFonts w:ascii="Geomanist" w:eastAsia="Aptos" w:hAnsi="Geomanist" w:cs="Segoe UI"/>
          <w:b/>
          <w:bCs/>
        </w:rPr>
        <w:t xml:space="preserve"> de Estímulos del Personal Académico</w:t>
      </w:r>
    </w:p>
    <w:p w14:paraId="5466B71E" w14:textId="6E6655B8" w:rsidR="00D1058C" w:rsidRPr="001B1BC9" w:rsidRDefault="00FE6BFA" w:rsidP="007638DC">
      <w:pPr>
        <w:tabs>
          <w:tab w:val="left" w:pos="1063"/>
        </w:tabs>
        <w:spacing w:after="0" w:line="276" w:lineRule="auto"/>
        <w:ind w:right="-20"/>
        <w:jc w:val="both"/>
        <w:rPr>
          <w:rFonts w:ascii="Geomanist" w:eastAsia="Aptos" w:hAnsi="Geomanist" w:cs="Segoe UI"/>
        </w:rPr>
      </w:pPr>
      <w:r>
        <w:rPr>
          <w:rFonts w:ascii="Geomanist" w:eastAsia="Aptos" w:hAnsi="Geomanist" w:cs="Segoe UI"/>
        </w:rPr>
        <w:t xml:space="preserve">A partir del cambio en la administración </w:t>
      </w:r>
      <w:r w:rsidR="0075560D">
        <w:rPr>
          <w:rFonts w:ascii="Geomanist" w:eastAsia="Aptos" w:hAnsi="Geomanist" w:cs="Segoe UI"/>
        </w:rPr>
        <w:t xml:space="preserve">de CONAHCYT, se </w:t>
      </w:r>
      <w:r w:rsidR="00155D64">
        <w:rPr>
          <w:rFonts w:ascii="Geomanist" w:eastAsia="Aptos" w:hAnsi="Geomanist" w:cs="Segoe UI"/>
        </w:rPr>
        <w:t>reenvió</w:t>
      </w:r>
      <w:r w:rsidR="0075560D">
        <w:rPr>
          <w:rFonts w:ascii="Geomanist" w:eastAsia="Aptos" w:hAnsi="Geomanist" w:cs="Segoe UI"/>
        </w:rPr>
        <w:t xml:space="preserve"> </w:t>
      </w:r>
      <w:r w:rsidR="00812225">
        <w:rPr>
          <w:rFonts w:ascii="Geomanist" w:eastAsia="Aptos" w:hAnsi="Geomanist" w:cs="Segoe UI"/>
        </w:rPr>
        <w:t>la propuesta de lineamientos de Estímulos del personal académico de El Colegio de la Frontera Sur, mediante oficio DG</w:t>
      </w:r>
      <w:r w:rsidR="0031184A">
        <w:rPr>
          <w:rFonts w:ascii="Geomanist" w:eastAsia="Aptos" w:hAnsi="Geomanist" w:cs="Segoe UI"/>
        </w:rPr>
        <w:t>-</w:t>
      </w:r>
      <w:r w:rsidR="00812225">
        <w:rPr>
          <w:rFonts w:ascii="Geomanist" w:eastAsia="Aptos" w:hAnsi="Geomanist" w:cs="Segoe UI"/>
        </w:rPr>
        <w:t xml:space="preserve">O-504 del 23 de octubre de 2024, para revisión de la Unidad </w:t>
      </w:r>
      <w:r w:rsidR="00F227F4">
        <w:rPr>
          <w:rFonts w:ascii="Geomanist" w:eastAsia="Aptos" w:hAnsi="Geomanist" w:cs="Segoe UI"/>
        </w:rPr>
        <w:t>de Articulación Sectorial y Regional y posterior validación de</w:t>
      </w:r>
      <w:r w:rsidR="0031184A">
        <w:rPr>
          <w:rFonts w:ascii="Geomanist" w:eastAsia="Aptos" w:hAnsi="Geomanist" w:cs="Segoe UI"/>
        </w:rPr>
        <w:t xml:space="preserve"> la Unidad Jurídica</w:t>
      </w:r>
      <w:r w:rsidR="00145F02" w:rsidRPr="001B1BC9">
        <w:rPr>
          <w:rFonts w:ascii="Geomanist" w:eastAsia="Aptos" w:hAnsi="Geomanist" w:cs="Segoe UI"/>
        </w:rPr>
        <w:t>.</w:t>
      </w:r>
    </w:p>
    <w:p w14:paraId="27FE9A8B" w14:textId="06E2714E" w:rsidR="00545D50" w:rsidRPr="00B148BC" w:rsidRDefault="000C3825" w:rsidP="00B148BC">
      <w:pPr>
        <w:tabs>
          <w:tab w:val="left" w:pos="1063"/>
        </w:tabs>
        <w:spacing w:after="0" w:line="240" w:lineRule="auto"/>
        <w:ind w:right="-20"/>
        <w:jc w:val="both"/>
        <w:rPr>
          <w:rFonts w:ascii="Geomanist" w:eastAsia="Montserrat" w:hAnsi="Geomanist" w:cs="Montserrat"/>
        </w:rPr>
      </w:pPr>
      <w:r w:rsidRPr="001B1BC9">
        <w:rPr>
          <w:rFonts w:ascii="Geomanist" w:eastAsia="Aptos" w:hAnsi="Geomanist" w:cs="Segoe UI"/>
        </w:rPr>
        <w:t xml:space="preserve"> </w:t>
      </w:r>
      <w:r w:rsidR="001D5A8C" w:rsidRPr="001B1BC9">
        <w:rPr>
          <w:rFonts w:ascii="Geomanist" w:eastAsia="Aptos" w:hAnsi="Geomanist" w:cs="Segoe UI"/>
        </w:rPr>
        <w:t xml:space="preserve"> </w:t>
      </w:r>
    </w:p>
    <w:p w14:paraId="5B66551D" w14:textId="24172BF8" w:rsidR="00E14B31" w:rsidRPr="001B1BC9" w:rsidRDefault="00E14B31" w:rsidP="00E14B31">
      <w:pPr>
        <w:spacing w:after="0" w:line="276" w:lineRule="auto"/>
        <w:jc w:val="both"/>
        <w:rPr>
          <w:rFonts w:ascii="Geomanist" w:hAnsi="Geomanist"/>
          <w:b/>
          <w:bCs/>
        </w:rPr>
      </w:pPr>
      <w:r w:rsidRPr="001B1BC9">
        <w:rPr>
          <w:rFonts w:ascii="Geomanist" w:hAnsi="Geomanist"/>
          <w:b/>
          <w:bCs/>
        </w:rPr>
        <w:t>Actualización de la normativa de Posgrado y validación de programas</w:t>
      </w:r>
    </w:p>
    <w:p w14:paraId="39CBD0F1" w14:textId="04998CDA" w:rsidR="00E14B31" w:rsidRDefault="00E14B31" w:rsidP="007638DC">
      <w:pPr>
        <w:tabs>
          <w:tab w:val="left" w:pos="1063"/>
        </w:tabs>
        <w:spacing w:after="0" w:line="276" w:lineRule="auto"/>
        <w:ind w:right="-20"/>
        <w:jc w:val="both"/>
        <w:rPr>
          <w:rFonts w:ascii="Geomanist" w:eastAsia="Montserrat" w:hAnsi="Geomanist" w:cs="Montserrat"/>
        </w:rPr>
      </w:pPr>
      <w:r w:rsidRPr="001B1BC9">
        <w:rPr>
          <w:rFonts w:ascii="Geomanist" w:eastAsia="Aptos" w:hAnsi="Geomanist" w:cs="Segoe UI"/>
        </w:rPr>
        <w:t xml:space="preserve">El nuevo Reglamento General de Posgrado, validado por el CONAHCYT en 2023 y aprobado por la Junta de Gobierno a principios de 2024 </w:t>
      </w:r>
      <w:r w:rsidRPr="001B1BC9">
        <w:rPr>
          <w:rFonts w:ascii="Geomanist" w:eastAsia="Montserrat" w:hAnsi="Geomanist" w:cs="Montserrat"/>
        </w:rPr>
        <w:t xml:space="preserve">establece la formación de las personas como un derecho fundamental para el alcance de un mayor bienestar. </w:t>
      </w:r>
      <w:r w:rsidR="0039620B" w:rsidRPr="0039620B">
        <w:rPr>
          <w:rFonts w:ascii="Geomanist" w:eastAsia="Montserrat" w:hAnsi="Geomanist" w:cs="Montserrat"/>
        </w:rPr>
        <w:t>Este reglamento integra en un solo documento los derechos, obligaciones y sanciones del estudiantado y personal vinculado al posgrado. Además, presenta las diferentes instancias que regulan su funcionamiento, promoviendo los principios de igualdad, no discriminación y prevención de la violencia de género y docente.</w:t>
      </w:r>
    </w:p>
    <w:p w14:paraId="242A4287" w14:textId="77777777" w:rsidR="0039620B" w:rsidRPr="001B1BC9" w:rsidRDefault="0039620B" w:rsidP="00E14B31">
      <w:pPr>
        <w:tabs>
          <w:tab w:val="left" w:pos="1063"/>
        </w:tabs>
        <w:spacing w:after="0" w:line="240" w:lineRule="auto"/>
        <w:ind w:right="-20"/>
        <w:jc w:val="both"/>
        <w:rPr>
          <w:rFonts w:ascii="Geomanist" w:eastAsia="Montserrat" w:hAnsi="Geomanist" w:cs="Montserrat"/>
        </w:rPr>
      </w:pPr>
    </w:p>
    <w:p w14:paraId="5B1B8E48" w14:textId="4E3BCE45" w:rsidR="00E14B31" w:rsidRPr="001B1BC9" w:rsidRDefault="00E14B31" w:rsidP="007638DC">
      <w:pPr>
        <w:tabs>
          <w:tab w:val="left" w:pos="1063"/>
        </w:tabs>
        <w:spacing w:after="0" w:line="276" w:lineRule="auto"/>
        <w:ind w:right="-20"/>
        <w:jc w:val="both"/>
        <w:rPr>
          <w:rFonts w:ascii="Geomanist" w:eastAsia="Aptos" w:hAnsi="Geomanist" w:cs="Segoe UI"/>
        </w:rPr>
      </w:pPr>
      <w:r w:rsidRPr="001B1BC9">
        <w:rPr>
          <w:rFonts w:ascii="Geomanist" w:eastAsia="Montserrat" w:hAnsi="Geomanist" w:cs="Montserrat"/>
        </w:rPr>
        <w:t>En otro ámbito</w:t>
      </w:r>
      <w:r w:rsidR="00545D50" w:rsidRPr="001B1BC9">
        <w:rPr>
          <w:rFonts w:ascii="Geomanist" w:eastAsia="Montserrat" w:hAnsi="Geomanist" w:cs="Montserrat"/>
        </w:rPr>
        <w:t>,</w:t>
      </w:r>
      <w:r w:rsidRPr="001B1BC9">
        <w:rPr>
          <w:rFonts w:ascii="Geomanist" w:eastAsia="Montserrat" w:hAnsi="Geomanist" w:cs="Montserrat"/>
        </w:rPr>
        <w:t xml:space="preserve"> permite que la institución lleve a cabo Especialidades; en particular se inició con la Especialidad para el Bienestar Comunitario en tres opciones terminales: </w:t>
      </w:r>
      <w:r w:rsidRPr="001B1BC9">
        <w:rPr>
          <w:rFonts w:ascii="Geomanist" w:eastAsia="Aptos" w:hAnsi="Geomanist" w:cs="Segoe UI"/>
        </w:rPr>
        <w:t>agroecologías y soberanías agroalimentarias, salud comunitaria y manejo de zonas costeras, junto con otras instituciones del S</w:t>
      </w:r>
      <w:r w:rsidR="00545D50" w:rsidRPr="001B1BC9">
        <w:rPr>
          <w:rFonts w:ascii="Geomanist" w:eastAsia="Aptos" w:hAnsi="Geomanist" w:cs="Segoe UI"/>
        </w:rPr>
        <w:t>istema Nacional de Centros Públicos (S</w:t>
      </w:r>
      <w:r w:rsidRPr="001B1BC9">
        <w:rPr>
          <w:rFonts w:ascii="Geomanist" w:eastAsia="Aptos" w:hAnsi="Geomanist" w:cs="Segoe UI"/>
        </w:rPr>
        <w:t>NCP</w:t>
      </w:r>
      <w:r w:rsidR="00545D50" w:rsidRPr="001B1BC9">
        <w:rPr>
          <w:rFonts w:ascii="Geomanist" w:eastAsia="Aptos" w:hAnsi="Geomanist" w:cs="Segoe UI"/>
        </w:rPr>
        <w:t>)</w:t>
      </w:r>
      <w:r w:rsidRPr="001B1BC9">
        <w:rPr>
          <w:rFonts w:ascii="Geomanist" w:eastAsia="Aptos" w:hAnsi="Geomanist" w:cs="Segoe UI"/>
        </w:rPr>
        <w:t>.</w:t>
      </w:r>
    </w:p>
    <w:p w14:paraId="4B2E4D1A" w14:textId="77777777" w:rsidR="00E14B31" w:rsidRPr="001B1BC9" w:rsidRDefault="00E14B31" w:rsidP="007638DC">
      <w:pPr>
        <w:tabs>
          <w:tab w:val="left" w:pos="1063"/>
        </w:tabs>
        <w:spacing w:after="0" w:line="276" w:lineRule="auto"/>
        <w:ind w:right="-20"/>
        <w:jc w:val="both"/>
        <w:rPr>
          <w:rFonts w:ascii="Geomanist" w:eastAsia="Aptos" w:hAnsi="Geomanist" w:cs="Segoe UI"/>
        </w:rPr>
      </w:pPr>
    </w:p>
    <w:p w14:paraId="4A50BC55" w14:textId="2D0E1D6F" w:rsidR="00E14B31" w:rsidRPr="001B1BC9" w:rsidRDefault="00E14B31" w:rsidP="007638DC">
      <w:pPr>
        <w:tabs>
          <w:tab w:val="left" w:pos="1063"/>
        </w:tabs>
        <w:spacing w:after="0" w:line="276" w:lineRule="auto"/>
        <w:ind w:right="-20"/>
        <w:jc w:val="both"/>
        <w:rPr>
          <w:rFonts w:ascii="Geomanist" w:eastAsia="Aptos" w:hAnsi="Geomanist" w:cs="Segoe UI"/>
        </w:rPr>
      </w:pPr>
      <w:r w:rsidRPr="001B1BC9">
        <w:rPr>
          <w:rFonts w:ascii="Geomanist" w:eastAsia="Aptos" w:hAnsi="Geomanist" w:cs="Segoe UI"/>
        </w:rPr>
        <w:t xml:space="preserve">El Doctorado Nacional en Agroecología, resultado de la colaboración de nueve Centros Públicos, fue aprobado por la Junta de Gobierno de ECOSUR en 2023 y está </w:t>
      </w:r>
      <w:r w:rsidR="00C0484C">
        <w:rPr>
          <w:rFonts w:ascii="Geomanist" w:eastAsia="Aptos" w:hAnsi="Geomanist" w:cs="Segoe UI"/>
        </w:rPr>
        <w:t>regi</w:t>
      </w:r>
      <w:r w:rsidR="00A34CDF">
        <w:rPr>
          <w:rFonts w:ascii="Geomanist" w:eastAsia="Aptos" w:hAnsi="Geomanist" w:cs="Segoe UI"/>
        </w:rPr>
        <w:t>strado</w:t>
      </w:r>
      <w:r w:rsidRPr="001B1BC9">
        <w:rPr>
          <w:rFonts w:ascii="Geomanist" w:eastAsia="Aptos" w:hAnsi="Geomanist" w:cs="Segoe UI"/>
        </w:rPr>
        <w:t xml:space="preserve"> en la </w:t>
      </w:r>
      <w:r w:rsidR="00545D50" w:rsidRPr="001B1BC9">
        <w:rPr>
          <w:rFonts w:ascii="Geomanist" w:eastAsia="Aptos" w:hAnsi="Geomanist" w:cs="Segoe UI"/>
        </w:rPr>
        <w:t xml:space="preserve"> Secretaría de Educación Pública (</w:t>
      </w:r>
      <w:r w:rsidRPr="001B1BC9">
        <w:rPr>
          <w:rFonts w:ascii="Geomanist" w:eastAsia="Aptos" w:hAnsi="Geomanist" w:cs="Segoe UI"/>
        </w:rPr>
        <w:t>SEP</w:t>
      </w:r>
      <w:r w:rsidR="00545D50" w:rsidRPr="001B1BC9">
        <w:rPr>
          <w:rFonts w:ascii="Geomanist" w:eastAsia="Aptos" w:hAnsi="Geomanist" w:cs="Segoe UI"/>
        </w:rPr>
        <w:t>)</w:t>
      </w:r>
      <w:r w:rsidRPr="001B1BC9">
        <w:rPr>
          <w:rFonts w:ascii="Geomanist" w:eastAsia="Aptos" w:hAnsi="Geomanist" w:cs="Segoe UI"/>
        </w:rPr>
        <w:t>.</w:t>
      </w:r>
    </w:p>
    <w:p w14:paraId="10E5CB81" w14:textId="77777777" w:rsidR="008D6E81" w:rsidRPr="001B1BC9" w:rsidRDefault="008D6E81" w:rsidP="007638DC">
      <w:pPr>
        <w:tabs>
          <w:tab w:val="left" w:pos="1063"/>
        </w:tabs>
        <w:spacing w:after="0" w:line="276" w:lineRule="auto"/>
        <w:ind w:right="-20"/>
        <w:jc w:val="both"/>
        <w:rPr>
          <w:rFonts w:ascii="Geomanist" w:eastAsia="Montserrat" w:hAnsi="Geomanist" w:cs="Montserrat"/>
        </w:rPr>
      </w:pPr>
    </w:p>
    <w:p w14:paraId="06694855" w14:textId="56EBE703" w:rsidR="000441AF" w:rsidRPr="001B1BC9" w:rsidRDefault="000441AF" w:rsidP="007638DC">
      <w:pPr>
        <w:tabs>
          <w:tab w:val="left" w:pos="1063"/>
        </w:tabs>
        <w:spacing w:after="0" w:line="276" w:lineRule="auto"/>
        <w:ind w:right="-20"/>
        <w:jc w:val="both"/>
        <w:rPr>
          <w:rFonts w:ascii="Geomanist" w:eastAsia="Montserrat" w:hAnsi="Geomanist" w:cs="Montserrat"/>
          <w:b/>
          <w:bCs/>
        </w:rPr>
      </w:pPr>
      <w:r w:rsidRPr="001B1BC9">
        <w:rPr>
          <w:rFonts w:ascii="Geomanist" w:eastAsia="Montserrat" w:hAnsi="Geomanist" w:cs="Montserrat"/>
          <w:b/>
          <w:bCs/>
        </w:rPr>
        <w:t>Gratuidad de los estudios de posgrado</w:t>
      </w:r>
    </w:p>
    <w:p w14:paraId="67BBAC03" w14:textId="5A5C811A" w:rsidR="00EF7F2C" w:rsidRPr="001B1BC9" w:rsidRDefault="000441AF" w:rsidP="007638DC">
      <w:pPr>
        <w:spacing w:after="0" w:line="276" w:lineRule="auto"/>
        <w:jc w:val="both"/>
        <w:rPr>
          <w:rFonts w:ascii="Geomanist" w:hAnsi="Geomanist"/>
        </w:rPr>
      </w:pPr>
      <w:r w:rsidRPr="001B1BC9">
        <w:rPr>
          <w:rFonts w:ascii="Geomanist" w:hAnsi="Geomanist"/>
        </w:rPr>
        <w:t>Se</w:t>
      </w:r>
      <w:r w:rsidR="00303A75">
        <w:rPr>
          <w:rFonts w:ascii="Geomanist" w:hAnsi="Geomanist"/>
        </w:rPr>
        <w:t xml:space="preserve"> reafirmó</w:t>
      </w:r>
      <w:r w:rsidRPr="001B1BC9">
        <w:rPr>
          <w:rFonts w:ascii="Geomanist" w:hAnsi="Geomanist"/>
        </w:rPr>
        <w:t xml:space="preserve"> </w:t>
      </w:r>
      <w:r w:rsidR="00895134" w:rsidRPr="001B1BC9">
        <w:rPr>
          <w:rFonts w:ascii="Geomanist" w:hAnsi="Geomanist"/>
        </w:rPr>
        <w:t xml:space="preserve">la gratuidad de todos los </w:t>
      </w:r>
      <w:r w:rsidR="00303A75">
        <w:rPr>
          <w:rFonts w:ascii="Geomanist" w:hAnsi="Geomanist"/>
        </w:rPr>
        <w:t xml:space="preserve">programas de </w:t>
      </w:r>
      <w:r w:rsidR="00895134" w:rsidRPr="001B1BC9">
        <w:rPr>
          <w:rFonts w:ascii="Geomanist" w:hAnsi="Geomanist"/>
        </w:rPr>
        <w:t>posgrados de ECOSUR</w:t>
      </w:r>
      <w:r w:rsidR="00303A75">
        <w:rPr>
          <w:rFonts w:ascii="Geomanist" w:hAnsi="Geomanist"/>
        </w:rPr>
        <w:t>,</w:t>
      </w:r>
      <w:r w:rsidR="00895134" w:rsidRPr="001B1BC9">
        <w:rPr>
          <w:rFonts w:ascii="Geomanist" w:hAnsi="Geomanist"/>
        </w:rPr>
        <w:t xml:space="preserve"> </w:t>
      </w:r>
      <w:r w:rsidR="00303A75">
        <w:rPr>
          <w:rFonts w:ascii="Geomanist" w:hAnsi="Geomanist"/>
        </w:rPr>
        <w:t>registrados</w:t>
      </w:r>
      <w:r w:rsidR="00537A97" w:rsidRPr="001B1BC9">
        <w:rPr>
          <w:rFonts w:ascii="Geomanist" w:hAnsi="Geomanist"/>
        </w:rPr>
        <w:t xml:space="preserve"> en</w:t>
      </w:r>
      <w:r w:rsidR="00895134" w:rsidRPr="001B1BC9">
        <w:rPr>
          <w:rFonts w:ascii="Geomanist" w:hAnsi="Geomanist"/>
        </w:rPr>
        <w:t xml:space="preserve"> el Sistema Nacional de Posgrado (SNP)</w:t>
      </w:r>
      <w:r w:rsidR="00474ABA" w:rsidRPr="001B1BC9">
        <w:rPr>
          <w:rFonts w:ascii="Geomanist" w:hAnsi="Geomanist"/>
        </w:rPr>
        <w:t>.</w:t>
      </w:r>
    </w:p>
    <w:p w14:paraId="656B4925" w14:textId="77777777" w:rsidR="00474ABA" w:rsidRDefault="00474ABA" w:rsidP="00EB5D2E">
      <w:pPr>
        <w:spacing w:after="0" w:line="276" w:lineRule="auto"/>
        <w:jc w:val="both"/>
        <w:rPr>
          <w:rFonts w:ascii="Geomanist" w:hAnsi="Geomanist"/>
        </w:rPr>
      </w:pPr>
    </w:p>
    <w:p w14:paraId="755F59C1" w14:textId="77777777" w:rsidR="0061485B" w:rsidRDefault="0061485B" w:rsidP="00EB5D2E">
      <w:pPr>
        <w:spacing w:after="0" w:line="276" w:lineRule="auto"/>
        <w:jc w:val="both"/>
        <w:rPr>
          <w:rFonts w:ascii="Geomanist" w:hAnsi="Geomanist"/>
        </w:rPr>
      </w:pPr>
    </w:p>
    <w:p w14:paraId="23724ED5" w14:textId="77777777" w:rsidR="0061485B" w:rsidRDefault="0061485B" w:rsidP="00EB5D2E">
      <w:pPr>
        <w:spacing w:after="0" w:line="276" w:lineRule="auto"/>
        <w:jc w:val="both"/>
        <w:rPr>
          <w:rFonts w:ascii="Geomanist" w:hAnsi="Geomanist"/>
        </w:rPr>
      </w:pPr>
    </w:p>
    <w:p w14:paraId="14C2DBA3" w14:textId="77777777" w:rsidR="0061485B" w:rsidRPr="0061485B" w:rsidRDefault="0061485B" w:rsidP="0061485B">
      <w:pPr>
        <w:spacing w:after="0" w:line="276" w:lineRule="auto"/>
        <w:jc w:val="both"/>
        <w:rPr>
          <w:rFonts w:ascii="Geomanist" w:hAnsi="Geomanist"/>
        </w:rPr>
      </w:pPr>
    </w:p>
    <w:sectPr w:rsidR="0061485B" w:rsidRPr="0061485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85BA7" w14:textId="77777777" w:rsidR="002134D4" w:rsidRDefault="002134D4" w:rsidP="00EB5D2E">
      <w:pPr>
        <w:spacing w:after="0" w:line="240" w:lineRule="auto"/>
      </w:pPr>
      <w:r>
        <w:separator/>
      </w:r>
    </w:p>
  </w:endnote>
  <w:endnote w:type="continuationSeparator" w:id="0">
    <w:p w14:paraId="5DF6FC7F" w14:textId="77777777" w:rsidR="002134D4" w:rsidRDefault="002134D4" w:rsidP="00EB5D2E">
      <w:pPr>
        <w:spacing w:after="0" w:line="240" w:lineRule="auto"/>
      </w:pPr>
      <w:r>
        <w:continuationSeparator/>
      </w:r>
    </w:p>
  </w:endnote>
  <w:endnote w:type="continuationNotice" w:id="1">
    <w:p w14:paraId="539527F5" w14:textId="77777777" w:rsidR="002134D4" w:rsidRDefault="002134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237995"/>
      <w:docPartObj>
        <w:docPartGallery w:val="Page Numbers (Bottom of Page)"/>
        <w:docPartUnique/>
      </w:docPartObj>
    </w:sdtPr>
    <w:sdtContent>
      <w:p w14:paraId="210B09C7" w14:textId="6D1198E3" w:rsidR="00EB5D2E" w:rsidRDefault="002A3F1B">
        <w:pPr>
          <w:pStyle w:val="Piedepgina"/>
          <w:jc w:val="right"/>
        </w:pPr>
        <w:r>
          <w:rPr>
            <w:rFonts w:ascii="Montserrat" w:eastAsia="Times New Roman" w:hAnsi="Montserrat" w:cs="Times New Roman"/>
            <w:noProof/>
            <w:kern w:val="0"/>
            <w:sz w:val="20"/>
            <w:szCs w:val="20"/>
            <w:lang w:val="es-ES" w:eastAsia="es-MX"/>
            <w14:ligatures w14:val="none"/>
          </w:rPr>
          <w:drawing>
            <wp:anchor distT="0" distB="0" distL="114300" distR="114300" simplePos="0" relativeHeight="251658241" behindDoc="0" locked="0" layoutInCell="1" allowOverlap="1" wp14:anchorId="6F5DB995" wp14:editId="674A5DF9">
              <wp:simplePos x="0" y="0"/>
              <wp:positionH relativeFrom="column">
                <wp:posOffset>-289560</wp:posOffset>
              </wp:positionH>
              <wp:positionV relativeFrom="paragraph">
                <wp:posOffset>59055</wp:posOffset>
              </wp:positionV>
              <wp:extent cx="1152525" cy="531061"/>
              <wp:effectExtent l="0" t="0" r="0" b="2540"/>
              <wp:wrapNone/>
              <wp:docPr id="120353271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2525" cy="53106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B5D2E">
          <w:fldChar w:fldCharType="begin"/>
        </w:r>
        <w:r w:rsidR="00EB5D2E">
          <w:instrText>PAGE   \* MERGEFORMAT</w:instrText>
        </w:r>
        <w:r w:rsidR="00EB5D2E">
          <w:fldChar w:fldCharType="separate"/>
        </w:r>
        <w:r w:rsidR="00EB5D2E">
          <w:rPr>
            <w:lang w:val="es-ES"/>
          </w:rPr>
          <w:t>2</w:t>
        </w:r>
        <w:r w:rsidR="00EB5D2E">
          <w:fldChar w:fldCharType="end"/>
        </w:r>
      </w:p>
    </w:sdtContent>
  </w:sdt>
  <w:p w14:paraId="46CBD003" w14:textId="7B11986D" w:rsidR="00EB5D2E" w:rsidRDefault="008F2D1B" w:rsidP="00EB5D2E">
    <w:pPr>
      <w:tabs>
        <w:tab w:val="center" w:pos="4419"/>
        <w:tab w:val="right" w:pos="8838"/>
      </w:tabs>
      <w:spacing w:after="0" w:line="240" w:lineRule="auto"/>
      <w:jc w:val="center"/>
      <w:rPr>
        <w:rFonts w:ascii="Montserrat" w:eastAsia="Times New Roman" w:hAnsi="Montserrat" w:cs="Times New Roman"/>
        <w:kern w:val="0"/>
        <w:sz w:val="20"/>
        <w:szCs w:val="20"/>
        <w:lang w:val="es-ES" w:eastAsia="es-MX"/>
        <w14:ligatures w14:val="none"/>
      </w:rPr>
    </w:pPr>
    <w:r>
      <w:rPr>
        <w:rFonts w:ascii="Montserrat" w:eastAsia="Times New Roman" w:hAnsi="Montserrat" w:cs="Times New Roman"/>
        <w:kern w:val="0"/>
        <w:sz w:val="20"/>
        <w:szCs w:val="20"/>
        <w:lang w:val="es-ES" w:eastAsia="es-MX"/>
        <w14:ligatures w14:val="none"/>
      </w:rPr>
      <w:t>Segunda</w:t>
    </w:r>
    <w:r w:rsidR="00EB5D2E" w:rsidRPr="00EB5D2E">
      <w:rPr>
        <w:rFonts w:ascii="Montserrat" w:eastAsia="Times New Roman" w:hAnsi="Montserrat" w:cs="Times New Roman"/>
        <w:kern w:val="0"/>
        <w:sz w:val="20"/>
        <w:szCs w:val="20"/>
        <w:lang w:val="es-ES" w:eastAsia="es-MX"/>
        <w14:ligatures w14:val="none"/>
      </w:rPr>
      <w:t xml:space="preserve"> Sesión Ordinaria de Órgano de Gobierno 2024</w:t>
    </w:r>
  </w:p>
  <w:p w14:paraId="6E59E773" w14:textId="77777777" w:rsidR="002A39B2" w:rsidRDefault="002A39B2" w:rsidP="00EB5D2E">
    <w:pPr>
      <w:tabs>
        <w:tab w:val="center" w:pos="4419"/>
        <w:tab w:val="right" w:pos="8838"/>
      </w:tabs>
      <w:spacing w:after="0" w:line="240" w:lineRule="auto"/>
      <w:jc w:val="center"/>
      <w:rPr>
        <w:rFonts w:ascii="Montserrat" w:eastAsia="Times New Roman" w:hAnsi="Montserrat" w:cs="Times New Roman"/>
        <w:kern w:val="0"/>
        <w:sz w:val="20"/>
        <w:szCs w:val="20"/>
        <w:lang w:val="es-ES" w:eastAsia="es-MX"/>
        <w14:ligatures w14:val="none"/>
      </w:rPr>
    </w:pPr>
  </w:p>
  <w:p w14:paraId="01BF1D7C" w14:textId="77777777" w:rsidR="002A39B2" w:rsidRDefault="002A39B2" w:rsidP="00EB5D2E">
    <w:pPr>
      <w:tabs>
        <w:tab w:val="center" w:pos="4419"/>
        <w:tab w:val="right" w:pos="8838"/>
      </w:tabs>
      <w:spacing w:after="0" w:line="240" w:lineRule="auto"/>
      <w:jc w:val="center"/>
      <w:rPr>
        <w:rFonts w:ascii="Montserrat" w:eastAsia="Times New Roman" w:hAnsi="Montserrat" w:cs="Times New Roman"/>
        <w:kern w:val="0"/>
        <w:sz w:val="20"/>
        <w:szCs w:val="20"/>
        <w:lang w:val="es-ES" w:eastAsia="es-MX"/>
        <w14:ligatures w14:val="none"/>
      </w:rPr>
    </w:pPr>
  </w:p>
  <w:p w14:paraId="7B238134" w14:textId="77777777" w:rsidR="00D561E1" w:rsidRDefault="00D561E1" w:rsidP="00EB5D2E">
    <w:pPr>
      <w:tabs>
        <w:tab w:val="center" w:pos="4419"/>
        <w:tab w:val="right" w:pos="8838"/>
      </w:tabs>
      <w:spacing w:after="0" w:line="240" w:lineRule="auto"/>
      <w:jc w:val="center"/>
      <w:rPr>
        <w:rFonts w:ascii="Montserrat" w:eastAsia="Times New Roman" w:hAnsi="Montserrat" w:cs="Times New Roman"/>
        <w:kern w:val="0"/>
        <w:sz w:val="20"/>
        <w:szCs w:val="20"/>
        <w:lang w:val="es-ES" w:eastAsia="es-MX"/>
        <w14:ligatures w14:val="none"/>
      </w:rPr>
    </w:pPr>
  </w:p>
  <w:p w14:paraId="2AA17E45" w14:textId="77777777" w:rsidR="00FF41A8" w:rsidRPr="00EB5D2E" w:rsidRDefault="00FF41A8" w:rsidP="00EB5D2E">
    <w:pPr>
      <w:tabs>
        <w:tab w:val="center" w:pos="4419"/>
        <w:tab w:val="right" w:pos="8838"/>
      </w:tabs>
      <w:spacing w:after="0" w:line="240" w:lineRule="auto"/>
      <w:jc w:val="center"/>
      <w:rPr>
        <w:rFonts w:ascii="Montserrat" w:eastAsia="Times New Roman" w:hAnsi="Montserrat" w:cs="Times New Roman"/>
        <w:kern w:val="0"/>
        <w:sz w:val="20"/>
        <w:szCs w:val="20"/>
        <w:lang w:val="es-ES" w:eastAsia="es-MX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A8F6D" w14:textId="77777777" w:rsidR="002134D4" w:rsidRDefault="002134D4" w:rsidP="00EB5D2E">
      <w:pPr>
        <w:spacing w:after="0" w:line="240" w:lineRule="auto"/>
      </w:pPr>
      <w:r>
        <w:separator/>
      </w:r>
    </w:p>
  </w:footnote>
  <w:footnote w:type="continuationSeparator" w:id="0">
    <w:p w14:paraId="3A9B3089" w14:textId="77777777" w:rsidR="002134D4" w:rsidRDefault="002134D4" w:rsidP="00EB5D2E">
      <w:pPr>
        <w:spacing w:after="0" w:line="240" w:lineRule="auto"/>
      </w:pPr>
      <w:r>
        <w:continuationSeparator/>
      </w:r>
    </w:p>
  </w:footnote>
  <w:footnote w:type="continuationNotice" w:id="1">
    <w:p w14:paraId="52492FF4" w14:textId="77777777" w:rsidR="002134D4" w:rsidRDefault="002134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33AA7" w14:textId="23F0C0F5" w:rsidR="00EB5D2E" w:rsidRDefault="0039261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2C6D08" wp14:editId="0DEB8D5A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5753100" cy="821790"/>
          <wp:effectExtent l="0" t="0" r="0" b="0"/>
          <wp:wrapNone/>
          <wp:docPr id="8407725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2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4EEB8F" w14:textId="77777777" w:rsidR="00EB5D2E" w:rsidRDefault="00EB5D2E">
    <w:pPr>
      <w:pStyle w:val="Encabezado"/>
    </w:pPr>
  </w:p>
  <w:p w14:paraId="4856C2AA" w14:textId="77777777" w:rsidR="00392611" w:rsidRDefault="00392611">
    <w:pPr>
      <w:pStyle w:val="Encabezado"/>
    </w:pPr>
  </w:p>
  <w:p w14:paraId="5BD0438D" w14:textId="77777777" w:rsidR="00392611" w:rsidRDefault="003926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4660"/>
    <w:multiLevelType w:val="hybridMultilevel"/>
    <w:tmpl w:val="B5B67F96"/>
    <w:lvl w:ilvl="0" w:tplc="4D9A7A34">
      <w:start w:val="8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9E40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EF3F99"/>
    <w:multiLevelType w:val="hybridMultilevel"/>
    <w:tmpl w:val="6C462F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B2EE3"/>
    <w:multiLevelType w:val="hybridMultilevel"/>
    <w:tmpl w:val="B7581EA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06ACD"/>
    <w:multiLevelType w:val="hybridMultilevel"/>
    <w:tmpl w:val="F708A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51D0C"/>
    <w:multiLevelType w:val="hybridMultilevel"/>
    <w:tmpl w:val="6C462F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C0716"/>
    <w:multiLevelType w:val="multilevel"/>
    <w:tmpl w:val="1CE4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734888">
    <w:abstractNumId w:val="0"/>
  </w:num>
  <w:num w:numId="2" w16cid:durableId="273756966">
    <w:abstractNumId w:val="1"/>
  </w:num>
  <w:num w:numId="3" w16cid:durableId="1677537517">
    <w:abstractNumId w:val="5"/>
  </w:num>
  <w:num w:numId="4" w16cid:durableId="176384956">
    <w:abstractNumId w:val="3"/>
  </w:num>
  <w:num w:numId="5" w16cid:durableId="167063625">
    <w:abstractNumId w:val="2"/>
  </w:num>
  <w:num w:numId="6" w16cid:durableId="2017033840">
    <w:abstractNumId w:val="6"/>
  </w:num>
  <w:num w:numId="7" w16cid:durableId="472525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E"/>
    <w:rsid w:val="000105F1"/>
    <w:rsid w:val="0001612B"/>
    <w:rsid w:val="0002688D"/>
    <w:rsid w:val="000343FB"/>
    <w:rsid w:val="000406CD"/>
    <w:rsid w:val="00042C38"/>
    <w:rsid w:val="000441AF"/>
    <w:rsid w:val="000603D0"/>
    <w:rsid w:val="00061FE5"/>
    <w:rsid w:val="000677E1"/>
    <w:rsid w:val="00087DD6"/>
    <w:rsid w:val="00092E0F"/>
    <w:rsid w:val="00096CCA"/>
    <w:rsid w:val="0009730F"/>
    <w:rsid w:val="000C3825"/>
    <w:rsid w:val="000D3093"/>
    <w:rsid w:val="000D47EE"/>
    <w:rsid w:val="000E382E"/>
    <w:rsid w:val="000E53A0"/>
    <w:rsid w:val="001065F0"/>
    <w:rsid w:val="001144F8"/>
    <w:rsid w:val="00122D4F"/>
    <w:rsid w:val="00145F02"/>
    <w:rsid w:val="00155D64"/>
    <w:rsid w:val="00166976"/>
    <w:rsid w:val="0017736D"/>
    <w:rsid w:val="001834C7"/>
    <w:rsid w:val="001869E9"/>
    <w:rsid w:val="00194F82"/>
    <w:rsid w:val="001A70A8"/>
    <w:rsid w:val="001B1BC9"/>
    <w:rsid w:val="001B1DF3"/>
    <w:rsid w:val="001C0240"/>
    <w:rsid w:val="001C421E"/>
    <w:rsid w:val="001D5A8C"/>
    <w:rsid w:val="001E259B"/>
    <w:rsid w:val="001F0D10"/>
    <w:rsid w:val="002134D4"/>
    <w:rsid w:val="00233101"/>
    <w:rsid w:val="00233D7D"/>
    <w:rsid w:val="00240BCE"/>
    <w:rsid w:val="00241017"/>
    <w:rsid w:val="002528CE"/>
    <w:rsid w:val="002A39B2"/>
    <w:rsid w:val="002A3F1B"/>
    <w:rsid w:val="002A66B8"/>
    <w:rsid w:val="00303A75"/>
    <w:rsid w:val="00304293"/>
    <w:rsid w:val="0031184A"/>
    <w:rsid w:val="0031783E"/>
    <w:rsid w:val="00320E8F"/>
    <w:rsid w:val="00323874"/>
    <w:rsid w:val="00352605"/>
    <w:rsid w:val="00352ED4"/>
    <w:rsid w:val="003727F4"/>
    <w:rsid w:val="00372B08"/>
    <w:rsid w:val="00376EBF"/>
    <w:rsid w:val="00381DC1"/>
    <w:rsid w:val="00385CD2"/>
    <w:rsid w:val="00392611"/>
    <w:rsid w:val="0039620B"/>
    <w:rsid w:val="003B6643"/>
    <w:rsid w:val="003D38BB"/>
    <w:rsid w:val="003E294D"/>
    <w:rsid w:val="003F1BD4"/>
    <w:rsid w:val="00401047"/>
    <w:rsid w:val="00401B00"/>
    <w:rsid w:val="004027BB"/>
    <w:rsid w:val="004207D5"/>
    <w:rsid w:val="00423BE3"/>
    <w:rsid w:val="00433AAC"/>
    <w:rsid w:val="0043561A"/>
    <w:rsid w:val="00436E4D"/>
    <w:rsid w:val="00437E41"/>
    <w:rsid w:val="0044514F"/>
    <w:rsid w:val="004545A1"/>
    <w:rsid w:val="00461C33"/>
    <w:rsid w:val="004711BF"/>
    <w:rsid w:val="00474ABA"/>
    <w:rsid w:val="00480A45"/>
    <w:rsid w:val="00481418"/>
    <w:rsid w:val="004E3EEB"/>
    <w:rsid w:val="004E7ACF"/>
    <w:rsid w:val="004F260D"/>
    <w:rsid w:val="005001BC"/>
    <w:rsid w:val="00512E19"/>
    <w:rsid w:val="005176EC"/>
    <w:rsid w:val="005200DF"/>
    <w:rsid w:val="005240CB"/>
    <w:rsid w:val="00537A97"/>
    <w:rsid w:val="00545D50"/>
    <w:rsid w:val="00567FDC"/>
    <w:rsid w:val="00586A87"/>
    <w:rsid w:val="00586D90"/>
    <w:rsid w:val="00591361"/>
    <w:rsid w:val="005A5D5B"/>
    <w:rsid w:val="005B2D87"/>
    <w:rsid w:val="005D6DE9"/>
    <w:rsid w:val="005E53CD"/>
    <w:rsid w:val="006137D0"/>
    <w:rsid w:val="0061485B"/>
    <w:rsid w:val="00646615"/>
    <w:rsid w:val="00660142"/>
    <w:rsid w:val="006931DA"/>
    <w:rsid w:val="006C0911"/>
    <w:rsid w:val="006E29E3"/>
    <w:rsid w:val="006F215A"/>
    <w:rsid w:val="00711954"/>
    <w:rsid w:val="00724BFF"/>
    <w:rsid w:val="00733AB9"/>
    <w:rsid w:val="007518CB"/>
    <w:rsid w:val="0075560D"/>
    <w:rsid w:val="007638DC"/>
    <w:rsid w:val="007749E6"/>
    <w:rsid w:val="007863BF"/>
    <w:rsid w:val="007A64AF"/>
    <w:rsid w:val="007D7DE9"/>
    <w:rsid w:val="007E02F8"/>
    <w:rsid w:val="007F4A4F"/>
    <w:rsid w:val="00812225"/>
    <w:rsid w:val="00815966"/>
    <w:rsid w:val="00826EF2"/>
    <w:rsid w:val="00831AD4"/>
    <w:rsid w:val="0085453F"/>
    <w:rsid w:val="00895134"/>
    <w:rsid w:val="00897005"/>
    <w:rsid w:val="008A40BD"/>
    <w:rsid w:val="008C2C44"/>
    <w:rsid w:val="008D6E81"/>
    <w:rsid w:val="008F2D1B"/>
    <w:rsid w:val="008F4C9A"/>
    <w:rsid w:val="00934A1A"/>
    <w:rsid w:val="00940D53"/>
    <w:rsid w:val="00941702"/>
    <w:rsid w:val="00943FCA"/>
    <w:rsid w:val="00947154"/>
    <w:rsid w:val="00950C1E"/>
    <w:rsid w:val="00951C9B"/>
    <w:rsid w:val="00956D68"/>
    <w:rsid w:val="00960537"/>
    <w:rsid w:val="00962382"/>
    <w:rsid w:val="00966DE2"/>
    <w:rsid w:val="0097459D"/>
    <w:rsid w:val="00985FB2"/>
    <w:rsid w:val="00986BA8"/>
    <w:rsid w:val="00994869"/>
    <w:rsid w:val="009A181D"/>
    <w:rsid w:val="009A5991"/>
    <w:rsid w:val="009C787E"/>
    <w:rsid w:val="009D3A62"/>
    <w:rsid w:val="009D6547"/>
    <w:rsid w:val="009E0875"/>
    <w:rsid w:val="00A2452F"/>
    <w:rsid w:val="00A34CDF"/>
    <w:rsid w:val="00A629A8"/>
    <w:rsid w:val="00A74676"/>
    <w:rsid w:val="00AC7649"/>
    <w:rsid w:val="00AC7955"/>
    <w:rsid w:val="00AF0BC2"/>
    <w:rsid w:val="00AF4724"/>
    <w:rsid w:val="00AF6B00"/>
    <w:rsid w:val="00B11281"/>
    <w:rsid w:val="00B148BC"/>
    <w:rsid w:val="00B256AD"/>
    <w:rsid w:val="00B53C67"/>
    <w:rsid w:val="00B57AC4"/>
    <w:rsid w:val="00B74D77"/>
    <w:rsid w:val="00B8542B"/>
    <w:rsid w:val="00BA5D98"/>
    <w:rsid w:val="00BF1007"/>
    <w:rsid w:val="00BF2F86"/>
    <w:rsid w:val="00C0484C"/>
    <w:rsid w:val="00C27908"/>
    <w:rsid w:val="00C45147"/>
    <w:rsid w:val="00C603CA"/>
    <w:rsid w:val="00C64B25"/>
    <w:rsid w:val="00C91A04"/>
    <w:rsid w:val="00CC773A"/>
    <w:rsid w:val="00D06DE8"/>
    <w:rsid w:val="00D07F01"/>
    <w:rsid w:val="00D1058C"/>
    <w:rsid w:val="00D13018"/>
    <w:rsid w:val="00D15574"/>
    <w:rsid w:val="00D23B2D"/>
    <w:rsid w:val="00D24661"/>
    <w:rsid w:val="00D561E1"/>
    <w:rsid w:val="00D6256E"/>
    <w:rsid w:val="00D62A9B"/>
    <w:rsid w:val="00D63030"/>
    <w:rsid w:val="00D96866"/>
    <w:rsid w:val="00D969BA"/>
    <w:rsid w:val="00DB39DB"/>
    <w:rsid w:val="00DD52F9"/>
    <w:rsid w:val="00DE5E97"/>
    <w:rsid w:val="00DF43F7"/>
    <w:rsid w:val="00DF52C4"/>
    <w:rsid w:val="00E04070"/>
    <w:rsid w:val="00E14B31"/>
    <w:rsid w:val="00E16461"/>
    <w:rsid w:val="00E2435A"/>
    <w:rsid w:val="00E30EE0"/>
    <w:rsid w:val="00E74BE6"/>
    <w:rsid w:val="00E86809"/>
    <w:rsid w:val="00E9317D"/>
    <w:rsid w:val="00EB5D2E"/>
    <w:rsid w:val="00EF7F2C"/>
    <w:rsid w:val="00F10BB4"/>
    <w:rsid w:val="00F12E32"/>
    <w:rsid w:val="00F13D85"/>
    <w:rsid w:val="00F174A3"/>
    <w:rsid w:val="00F20414"/>
    <w:rsid w:val="00F227F4"/>
    <w:rsid w:val="00F278B9"/>
    <w:rsid w:val="00F33D0A"/>
    <w:rsid w:val="00F406D9"/>
    <w:rsid w:val="00F427B5"/>
    <w:rsid w:val="00F50F3A"/>
    <w:rsid w:val="00F622B6"/>
    <w:rsid w:val="00F6265F"/>
    <w:rsid w:val="00F664BE"/>
    <w:rsid w:val="00F859B3"/>
    <w:rsid w:val="00F97B2B"/>
    <w:rsid w:val="00FA441F"/>
    <w:rsid w:val="00FB4FF9"/>
    <w:rsid w:val="00FC44DD"/>
    <w:rsid w:val="00FE2D18"/>
    <w:rsid w:val="00FE6BFA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38FC6"/>
  <w15:chartTrackingRefBased/>
  <w15:docId w15:val="{1B0CDB83-0B5B-463D-8C32-5A09FB9E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2E"/>
  </w:style>
  <w:style w:type="paragraph" w:styleId="Ttulo1">
    <w:name w:val="heading 1"/>
    <w:basedOn w:val="Normal"/>
    <w:next w:val="Normal"/>
    <w:link w:val="Ttulo1Car"/>
    <w:uiPriority w:val="9"/>
    <w:qFormat/>
    <w:rsid w:val="00EB5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5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5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5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5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5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5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5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5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5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5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5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5D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5D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5D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5D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5D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5D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5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5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5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5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5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5D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5D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5D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5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5D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5D2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B5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D2E"/>
  </w:style>
  <w:style w:type="paragraph" w:styleId="Piedepgina">
    <w:name w:val="footer"/>
    <w:basedOn w:val="Normal"/>
    <w:link w:val="PiedepginaCar"/>
    <w:uiPriority w:val="99"/>
    <w:unhideWhenUsed/>
    <w:rsid w:val="00EB5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D2E"/>
  </w:style>
  <w:style w:type="paragraph" w:customStyle="1" w:styleId="Default">
    <w:name w:val="Default"/>
    <w:rsid w:val="00B57AC4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kern w:val="0"/>
      <w:sz w:val="24"/>
      <w:szCs w:val="24"/>
    </w:rPr>
  </w:style>
  <w:style w:type="paragraph" w:styleId="Revisin">
    <w:name w:val="Revision"/>
    <w:hidden/>
    <w:uiPriority w:val="99"/>
    <w:semiHidden/>
    <w:rsid w:val="00537A9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37A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7A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7A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7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7A9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7996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6121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874ee6-6345-4583-9d11-61c8fac31dae">
      <Terms xmlns="http://schemas.microsoft.com/office/infopath/2007/PartnerControls"/>
    </lcf76f155ced4ddcb4097134ff3c332f>
    <TaxCatchAll xmlns="30306dc2-8229-4440-aa65-d8dc0d01aedb" xsi:nil="true"/>
    <Informe xmlns="98874ee6-6345-4583-9d11-61c8fac31d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C618665DA3F8479CC92AE8FA3A1E52" ma:contentTypeVersion="34" ma:contentTypeDescription="Crear nuevo documento." ma:contentTypeScope="" ma:versionID="74c3eda379344cbeba482dd3fc30e1d2">
  <xsd:schema xmlns:xsd="http://www.w3.org/2001/XMLSchema" xmlns:xs="http://www.w3.org/2001/XMLSchema" xmlns:p="http://schemas.microsoft.com/office/2006/metadata/properties" xmlns:ns2="98874ee6-6345-4583-9d11-61c8fac31dae" xmlns:ns3="30306dc2-8229-4440-aa65-d8dc0d01aedb" targetNamespace="http://schemas.microsoft.com/office/2006/metadata/properties" ma:root="true" ma:fieldsID="92c246040f734260cb72a3d6e9912961" ns2:_="" ns3:_="">
    <xsd:import namespace="98874ee6-6345-4583-9d11-61c8fac31dae"/>
    <xsd:import namespace="30306dc2-8229-4440-aa65-d8dc0d01a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Inform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4ee6-6345-4583-9d11-61c8fac31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forme" ma:index="18" nillable="true" ma:displayName="Informe" ma:description="prueba" ma:format="Dropdown" ma:internalName="Inform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1a6e944-2cb8-4607-b42e-936d7c634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06dc2-8229-4440-aa65-d8dc0d01a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f9afdb-6797-4977-b6c5-4f71c292898d}" ma:internalName="TaxCatchAll" ma:showField="CatchAllData" ma:web="30306dc2-8229-4440-aa65-d8dc0d01a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E1E9C-90A7-4813-A184-544ED1401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AFB31-601D-4C6D-91A3-E963CA8CF03D}">
  <ds:schemaRefs>
    <ds:schemaRef ds:uri="http://schemas.microsoft.com/office/2006/metadata/properties"/>
    <ds:schemaRef ds:uri="http://schemas.microsoft.com/office/infopath/2007/PartnerControls"/>
    <ds:schemaRef ds:uri="98874ee6-6345-4583-9d11-61c8fac31dae"/>
    <ds:schemaRef ds:uri="30306dc2-8229-4440-aa65-d8dc0d01aedb"/>
  </ds:schemaRefs>
</ds:datastoreItem>
</file>

<file path=customXml/itemProps3.xml><?xml version="1.0" encoding="utf-8"?>
<ds:datastoreItem xmlns:ds="http://schemas.openxmlformats.org/officeDocument/2006/customXml" ds:itemID="{95D3FC28-F46A-41F7-AB91-941D2CC7F5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1511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Claude Brunel Manse</dc:creator>
  <cp:keywords/>
  <dc:description/>
  <cp:lastModifiedBy>Marie Claude Brunel Manse</cp:lastModifiedBy>
  <cp:revision>14</cp:revision>
  <cp:lastPrinted>2024-11-06T18:31:00Z</cp:lastPrinted>
  <dcterms:created xsi:type="dcterms:W3CDTF">2024-11-06T03:06:00Z</dcterms:created>
  <dcterms:modified xsi:type="dcterms:W3CDTF">2024-11-06T18:32:00Z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0x01010060C618665DA3F8479CC92AE8FA3A1E52</vt:lpwstr>
  </property>
  <property fmtid="{D5CDD505-2E9C-101B-9397-08002B2CF9AE}" pid="3" name="MediaServiceImageTags">
    <vt:lpwstr/>
  </property>
</Properties>
</file>